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911E69" w:rsidP="00054BC4">
            <w:pPr>
              <w:pStyle w:val="NormalWeb"/>
              <w:rPr>
                <w:rFonts w:ascii="Arial" w:hAnsi="Arial" w:cs="Arial"/>
                <w:b/>
                <w:bCs/>
                <w:szCs w:val="28"/>
                <w:u w:val="single"/>
              </w:rPr>
            </w:pPr>
            <w:hyperlink r:id="rId7" w:history="1">
              <w:r w:rsidR="00177907" w:rsidRPr="00C46571">
                <w:rPr>
                  <w:rStyle w:val="Hyperlink"/>
                  <w:rFonts w:ascii="Arial" w:hAnsi="Arial" w:cs="Arial"/>
                </w:rPr>
                <w:t>Contemporary Research and Perspectives in Biological Science</w:t>
              </w:r>
            </w:hyperlink>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77907" w:rsidRPr="00177907">
              <w:rPr>
                <w:rFonts w:ascii="Arial" w:hAnsi="Arial" w:cs="Arial"/>
                <w:b/>
                <w:bCs/>
                <w:szCs w:val="28"/>
                <w:lang w:val="en-GB"/>
              </w:rPr>
              <w:t>4092</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177907" w:rsidP="000450FC">
            <w:pPr>
              <w:pStyle w:val="NormalWeb"/>
              <w:spacing w:before="0" w:beforeAutospacing="0" w:after="0" w:afterAutospacing="0"/>
              <w:rPr>
                <w:rFonts w:ascii="Arial" w:hAnsi="Arial" w:cs="Arial"/>
                <w:b/>
                <w:szCs w:val="28"/>
                <w:highlight w:val="yellow"/>
                <w:lang w:val="en-GB"/>
              </w:rPr>
            </w:pPr>
            <w:r w:rsidRPr="00177907">
              <w:rPr>
                <w:rFonts w:ascii="Arial" w:hAnsi="Arial" w:cs="Arial"/>
                <w:b/>
                <w:szCs w:val="28"/>
                <w:lang w:val="en-GB"/>
              </w:rPr>
              <w:t>Protective effect of 3-O-methyl quercetin and kaempferol from Semecarpus anacardium against H2O2 induced cytotoxicity in lung and liver cells</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177907"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911E69"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rsidR="00626025" w:rsidRPr="0086369B" w:rsidRDefault="00626025" w:rsidP="00D27A79">
      <w:pPr>
        <w:pStyle w:val="BodyText"/>
        <w:jc w:val="left"/>
        <w:rPr>
          <w:rFonts w:ascii="Arial" w:hAnsi="Arial" w:cs="Arial"/>
          <w:color w:val="222222"/>
          <w:sz w:val="20"/>
          <w:szCs w:val="18"/>
          <w:lang w:val="en-GB"/>
        </w:rPr>
      </w:pPr>
    </w:p>
    <w:p w:rsidR="0086369B" w:rsidRDefault="0086369B" w:rsidP="00626025">
      <w:pPr>
        <w:pStyle w:val="BodyText"/>
        <w:rPr>
          <w:rFonts w:ascii="Arial" w:hAnsi="Arial" w:cs="Arial"/>
          <w:b/>
          <w:color w:val="222222"/>
          <w:sz w:val="32"/>
          <w:u w:val="single"/>
          <w:lang w:val="en-US"/>
        </w:rPr>
      </w:pPr>
    </w:p>
    <w:p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rsidR="007B54A4" w:rsidRDefault="007B54A4" w:rsidP="00626025">
      <w:pPr>
        <w:pStyle w:val="BodyText"/>
        <w:rPr>
          <w:rFonts w:ascii="Arial" w:hAnsi="Arial" w:cs="Arial"/>
          <w:b/>
          <w:color w:val="222222"/>
          <w:sz w:val="32"/>
          <w:u w:val="single"/>
          <w:lang w:val="en-US"/>
        </w:rPr>
      </w:pPr>
    </w:p>
    <w:p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rsidR="00640538" w:rsidRPr="00DE7D30" w:rsidRDefault="00911E69"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v:rect id="_x0000_s2050" style="position:absolute;left:0;text-align:left;margin-left:-9.6pt;margin-top:14.25pt;width:1071.35pt;height:166.55pt;z-index:251658240">
            <v:textbox>
              <w:txbxContent>
                <w:p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rsidR="007B54A4" w:rsidRDefault="007B54A4" w:rsidP="00E03C32">
                  <w:pPr>
                    <w:pStyle w:val="BodyText"/>
                    <w:rPr>
                      <w:rFonts w:ascii="Arial" w:hAnsi="Arial" w:cs="Arial"/>
                      <w:color w:val="222222"/>
                      <w:sz w:val="32"/>
                      <w:lang w:val="en-US"/>
                    </w:rPr>
                  </w:pPr>
                </w:p>
                <w:p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rsidR="00E03C32" w:rsidRPr="00640538" w:rsidRDefault="00E03C32" w:rsidP="00E03C32">
                  <w:pPr>
                    <w:pStyle w:val="BodyText"/>
                    <w:jc w:val="left"/>
                    <w:rPr>
                      <w:rFonts w:ascii="Arial" w:hAnsi="Arial" w:cs="Arial"/>
                      <w:b/>
                      <w:color w:val="222222"/>
                      <w:sz w:val="32"/>
                      <w:lang w:val="en-US"/>
                    </w:rPr>
                  </w:pPr>
                </w:p>
                <w:p w:rsidR="00177907" w:rsidRDefault="00177907" w:rsidP="007B54A4">
                  <w:pPr>
                    <w:pStyle w:val="BodyText"/>
                    <w:jc w:val="left"/>
                    <w:rPr>
                      <w:rFonts w:ascii="Arial" w:hAnsi="Arial" w:cs="Arial"/>
                      <w:b/>
                      <w:color w:val="222222"/>
                      <w:sz w:val="32"/>
                      <w:lang w:val="en-US"/>
                    </w:rPr>
                  </w:pPr>
                  <w:r w:rsidRPr="00177907">
                    <w:rPr>
                      <w:rFonts w:ascii="Arial" w:hAnsi="Arial" w:cs="Arial"/>
                      <w:b/>
                      <w:color w:val="222222"/>
                      <w:sz w:val="32"/>
                      <w:lang w:val="en-US"/>
                    </w:rPr>
                    <w:t>BMC Complementary and Alternative Medicine</w:t>
                  </w:r>
                  <w:r>
                    <w:rPr>
                      <w:rFonts w:ascii="Arial" w:hAnsi="Arial" w:cs="Arial"/>
                      <w:b/>
                      <w:color w:val="222222"/>
                      <w:sz w:val="32"/>
                      <w:lang w:val="en-US"/>
                    </w:rPr>
                    <w:t>,</w:t>
                  </w:r>
                  <w:r w:rsidRPr="00177907">
                    <w:rPr>
                      <w:rFonts w:ascii="Arial" w:hAnsi="Arial" w:cs="Arial"/>
                      <w:b/>
                      <w:color w:val="222222"/>
                      <w:sz w:val="32"/>
                      <w:lang w:val="en-US"/>
                    </w:rPr>
                    <w:t xml:space="preserve"> (2016) </w:t>
                  </w:r>
                </w:p>
                <w:p w:rsidR="00177907" w:rsidRDefault="00177907" w:rsidP="007B54A4">
                  <w:pPr>
                    <w:pStyle w:val="BodyText"/>
                    <w:jc w:val="left"/>
                    <w:rPr>
                      <w:rFonts w:ascii="Arial" w:hAnsi="Arial" w:cs="Arial"/>
                      <w:b/>
                      <w:color w:val="222222"/>
                      <w:sz w:val="32"/>
                      <w:lang w:val="en-US"/>
                    </w:rPr>
                  </w:pPr>
                </w:p>
                <w:p w:rsidR="00E03C32" w:rsidRDefault="00177907" w:rsidP="00177907">
                  <w:pPr>
                    <w:pStyle w:val="BodyText"/>
                    <w:jc w:val="left"/>
                    <w:rPr>
                      <w:rFonts w:ascii="Arial" w:hAnsi="Arial" w:cs="Arial"/>
                      <w:b/>
                      <w:color w:val="222222"/>
                      <w:sz w:val="32"/>
                      <w:lang w:val="en-US"/>
                    </w:rPr>
                  </w:pPr>
                  <w:r w:rsidRPr="00177907">
                    <w:rPr>
                      <w:rFonts w:ascii="Arial" w:hAnsi="Arial" w:cs="Arial"/>
                      <w:b/>
                      <w:color w:val="222222"/>
                      <w:sz w:val="32"/>
                      <w:lang w:val="en-US"/>
                    </w:rPr>
                    <w:t>DOI 10.1186/s12906-016-1354-z</w:t>
                  </w:r>
                </w:p>
                <w:p w:rsidR="00177907" w:rsidRPr="007B54A4" w:rsidRDefault="00177907" w:rsidP="00177907">
                  <w:pPr>
                    <w:pStyle w:val="BodyText"/>
                    <w:jc w:val="left"/>
                    <w:rPr>
                      <w:rFonts w:ascii="Arial" w:hAnsi="Arial" w:cs="Arial"/>
                      <w:b/>
                      <w:color w:val="222222"/>
                      <w:sz w:val="32"/>
                      <w:lang w:val="en-US"/>
                    </w:rPr>
                  </w:pPr>
                </w:p>
              </w:txbxContent>
            </v:textbox>
          </v:rect>
        </w:pict>
      </w:r>
    </w:p>
    <w:p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7222C8">
        <w:trPr>
          <w:trHeight w:val="1264"/>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F1171E" w:rsidRPr="00900E9B" w:rsidRDefault="0087440A" w:rsidP="00AD7CF6">
            <w:pPr>
              <w:pStyle w:val="ListParagraph"/>
              <w:ind w:left="0"/>
              <w:rPr>
                <w:b/>
                <w:bCs/>
                <w:sz w:val="20"/>
                <w:szCs w:val="20"/>
                <w:lang w:val="en-GB"/>
              </w:rPr>
            </w:pPr>
            <w:r>
              <w:rPr>
                <w:b/>
                <w:bCs/>
                <w:sz w:val="20"/>
                <w:szCs w:val="20"/>
                <w:lang w:val="en-GB"/>
              </w:rPr>
              <w:t>The manuscript (Ms_</w:t>
            </w:r>
            <w:r>
              <w:t xml:space="preserve"> </w:t>
            </w:r>
            <w:r w:rsidRPr="0087440A">
              <w:rPr>
                <w:b/>
                <w:bCs/>
                <w:sz w:val="20"/>
                <w:szCs w:val="20"/>
                <w:lang w:val="en-GB"/>
              </w:rPr>
              <w:t>BPR_4092</w:t>
            </w:r>
            <w:r>
              <w:rPr>
                <w:b/>
                <w:bCs/>
                <w:sz w:val="20"/>
                <w:szCs w:val="20"/>
                <w:lang w:val="en-GB"/>
              </w:rPr>
              <w:t xml:space="preserve">) presents a series of original experimental assays aiming to explore the main active flavonoid compounds present in the methanol extract from the bark of the marking nut tree, </w:t>
            </w:r>
            <w:r w:rsidRPr="0087440A">
              <w:rPr>
                <w:b/>
                <w:bCs/>
                <w:i/>
                <w:sz w:val="20"/>
                <w:szCs w:val="20"/>
                <w:lang w:val="en-GB"/>
              </w:rPr>
              <w:t>Semecarpus anacardium</w:t>
            </w:r>
            <w:r>
              <w:rPr>
                <w:b/>
                <w:bCs/>
                <w:sz w:val="20"/>
                <w:szCs w:val="20"/>
                <w:lang w:val="en-GB"/>
              </w:rPr>
              <w:t>, also known as Oriental cashew or varnish tree, an Indian tree growing in the outer Himalaya region extending to the Coromandel coast. By different methods, including thin layer chromatography, liquid chromatography-mass spectrometry, Fourier-transformed infrared and NMR spectroscopy</w:t>
            </w:r>
            <w:r w:rsidR="000F1B3D">
              <w:rPr>
                <w:b/>
                <w:bCs/>
                <w:sz w:val="20"/>
                <w:szCs w:val="20"/>
                <w:lang w:val="en-GB"/>
              </w:rPr>
              <w:t xml:space="preserve">, the authors proved that the most abundant components of the extract are </w:t>
            </w:r>
            <w:r w:rsidR="000F1B3D" w:rsidRPr="000F1B3D">
              <w:rPr>
                <w:b/>
                <w:bCs/>
                <w:sz w:val="20"/>
                <w:szCs w:val="20"/>
                <w:lang w:val="en-GB"/>
              </w:rPr>
              <w:t>3-O-methyl quercetin</w:t>
            </w:r>
            <w:r w:rsidR="000F1B3D">
              <w:rPr>
                <w:b/>
                <w:bCs/>
                <w:sz w:val="20"/>
                <w:szCs w:val="20"/>
                <w:lang w:val="en-GB"/>
              </w:rPr>
              <w:t xml:space="preserve"> and kaempferol. Subsequently the authors explored the antioxidant and cytoprotective effects of these two compounds on an </w:t>
            </w:r>
            <w:r w:rsidR="000F1B3D" w:rsidRPr="000F1B3D">
              <w:rPr>
                <w:b/>
                <w:bCs/>
                <w:i/>
                <w:sz w:val="20"/>
                <w:szCs w:val="20"/>
                <w:lang w:val="en-GB"/>
              </w:rPr>
              <w:t>in vitro</w:t>
            </w:r>
            <w:r w:rsidR="000F1B3D">
              <w:rPr>
                <w:b/>
                <w:bCs/>
                <w:sz w:val="20"/>
                <w:szCs w:val="20"/>
                <w:lang w:val="en-GB"/>
              </w:rPr>
              <w:t xml:space="preserve"> model of exposure to exogenous free radicals (hydrogen peroxide) via an array of methods such as the MTT cell viability assay, </w:t>
            </w:r>
            <w:r w:rsidR="000F1B3D" w:rsidRPr="000F1B3D">
              <w:rPr>
                <w:b/>
                <w:bCs/>
                <w:sz w:val="20"/>
                <w:szCs w:val="20"/>
                <w:lang w:val="en-GB"/>
              </w:rPr>
              <w:t>DCFH-DA</w:t>
            </w:r>
            <w:r w:rsidR="000F1B3D">
              <w:rPr>
                <w:b/>
                <w:bCs/>
                <w:sz w:val="20"/>
                <w:szCs w:val="20"/>
                <w:lang w:val="en-GB"/>
              </w:rPr>
              <w:t xml:space="preserve"> ROS production assay, measurement of mitochondrial transmembrane potential via </w:t>
            </w:r>
            <w:r w:rsidR="004A2023">
              <w:rPr>
                <w:b/>
                <w:bCs/>
                <w:sz w:val="20"/>
                <w:szCs w:val="20"/>
                <w:lang w:val="en-GB"/>
              </w:rPr>
              <w:t>rhodamine-</w:t>
            </w:r>
            <w:r w:rsidR="000F1B3D" w:rsidRPr="000F1B3D">
              <w:rPr>
                <w:b/>
                <w:bCs/>
                <w:sz w:val="20"/>
                <w:szCs w:val="20"/>
                <w:lang w:val="en-GB"/>
              </w:rPr>
              <w:t xml:space="preserve">123 </w:t>
            </w:r>
            <w:r w:rsidR="000F1B3D">
              <w:rPr>
                <w:b/>
                <w:bCs/>
                <w:sz w:val="20"/>
                <w:szCs w:val="20"/>
                <w:lang w:val="en-GB"/>
              </w:rPr>
              <w:t>fluorimetry, ROS-induced DNA degradation by alkaline comet and</w:t>
            </w:r>
            <w:r w:rsidR="007D7A48">
              <w:rPr>
                <w:b/>
                <w:bCs/>
                <w:sz w:val="20"/>
                <w:szCs w:val="20"/>
                <w:lang w:val="en-GB"/>
              </w:rPr>
              <w:t xml:space="preserve"> DNA laddering assays, release o</w:t>
            </w:r>
            <w:r w:rsidR="000F1B3D">
              <w:rPr>
                <w:b/>
                <w:bCs/>
                <w:sz w:val="20"/>
                <w:szCs w:val="20"/>
                <w:lang w:val="en-GB"/>
              </w:rPr>
              <w:t>f LDH by cell cultures, caspase 3 assay</w:t>
            </w:r>
            <w:r w:rsidR="007D7A48">
              <w:rPr>
                <w:b/>
                <w:bCs/>
                <w:sz w:val="20"/>
                <w:szCs w:val="20"/>
                <w:lang w:val="en-GB"/>
              </w:rPr>
              <w:t>, phospho-p38 levels by sandwich ELISA, Nrf2 levels by ELISA and RT-PCR, and SOD2 and catalase levels by Western immunoblotting.</w:t>
            </w:r>
            <w:r w:rsidR="000F1B3D">
              <w:rPr>
                <w:b/>
                <w:bCs/>
                <w:sz w:val="20"/>
                <w:szCs w:val="20"/>
                <w:lang w:val="en-GB"/>
              </w:rPr>
              <w:t xml:space="preserve"> </w:t>
            </w:r>
            <w:r w:rsidR="00AD7CF6">
              <w:rPr>
                <w:b/>
                <w:bCs/>
                <w:sz w:val="20"/>
                <w:szCs w:val="20"/>
                <w:lang w:val="en-GB"/>
              </w:rPr>
              <w:t xml:space="preserve">In addition, </w:t>
            </w:r>
            <w:r w:rsidR="00AD7CF6" w:rsidRPr="00AD7CF6">
              <w:rPr>
                <w:b/>
                <w:bCs/>
                <w:i/>
                <w:sz w:val="20"/>
                <w:szCs w:val="20"/>
                <w:lang w:val="en-GB"/>
              </w:rPr>
              <w:t>in silico</w:t>
            </w:r>
            <w:r w:rsidR="00AD7CF6">
              <w:rPr>
                <w:b/>
                <w:bCs/>
                <w:sz w:val="20"/>
                <w:szCs w:val="20"/>
                <w:lang w:val="en-GB"/>
              </w:rPr>
              <w:t xml:space="preserve"> docking assays using a genetic algorithm for flexible ligand (GOLD) proved highest binding affinity for the two compounds of p38α. These results are significant and highly relevant in view of the potential use of this vegetal remedy as a food supplement with antioxidant activity and possibly with senolytic effects.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8C5A03" w:rsidP="008C5A03">
            <w:pPr>
              <w:rPr>
                <w:b/>
                <w:bCs/>
                <w:sz w:val="20"/>
                <w:szCs w:val="20"/>
                <w:lang w:val="en-GB"/>
              </w:rPr>
            </w:pPr>
            <w:r>
              <w:rPr>
                <w:b/>
                <w:bCs/>
                <w:sz w:val="20"/>
                <w:szCs w:val="20"/>
                <w:lang w:val="en-GB"/>
              </w:rPr>
              <w:t>The title is suitable.</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1262"/>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8C5A03" w:rsidP="008C5A03">
            <w:pPr>
              <w:rPr>
                <w:b/>
                <w:bCs/>
                <w:sz w:val="20"/>
                <w:szCs w:val="20"/>
                <w:lang w:val="en-GB"/>
              </w:rPr>
            </w:pPr>
            <w:r>
              <w:rPr>
                <w:b/>
                <w:bCs/>
                <w:sz w:val="20"/>
                <w:szCs w:val="20"/>
                <w:lang w:val="en-GB"/>
              </w:rPr>
              <w:t>The Abstract is comprhensive; I suggest only minor spelling corrections.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859"/>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w:t>
            </w:r>
            <w:r w:rsidR="008C5A03">
              <w:rPr>
                <w:b/>
                <w:bCs/>
                <w:sz w:val="20"/>
                <w:szCs w:val="20"/>
                <w:lang w:val="en-GB"/>
              </w:rPr>
              <w:t>s the manuscript scientifically</w:t>
            </w:r>
            <w:r w:rsidRPr="00DC6FED">
              <w:rPr>
                <w:b/>
                <w:bCs/>
                <w:sz w:val="20"/>
                <w:szCs w:val="20"/>
                <w:lang w:val="en-GB"/>
              </w:rPr>
              <w:t xml:space="preserve"> correct? Please write here.</w:t>
            </w:r>
            <w:r>
              <w:rPr>
                <w:b/>
                <w:bCs/>
                <w:sz w:val="20"/>
                <w:szCs w:val="20"/>
                <w:lang w:val="en-GB"/>
              </w:rPr>
              <w:t xml:space="preserve"> </w:t>
            </w:r>
          </w:p>
        </w:tc>
        <w:tc>
          <w:tcPr>
            <w:tcW w:w="2212" w:type="pct"/>
          </w:tcPr>
          <w:p w:rsidR="00F1171E" w:rsidRPr="00900E9B" w:rsidRDefault="008C5A03" w:rsidP="007222C8">
            <w:pPr>
              <w:pStyle w:val="ListParagraph"/>
              <w:ind w:left="0"/>
              <w:rPr>
                <w:b/>
                <w:bCs/>
                <w:sz w:val="20"/>
                <w:szCs w:val="20"/>
                <w:lang w:val="en-GB"/>
              </w:rPr>
            </w:pPr>
            <w:r>
              <w:rPr>
                <w:b/>
                <w:bCs/>
                <w:sz w:val="20"/>
                <w:szCs w:val="20"/>
                <w:lang w:val="en-GB"/>
              </w:rPr>
              <w:t>Yes.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703"/>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F1171E" w:rsidRPr="00900E9B" w:rsidRDefault="008C5A03" w:rsidP="007222C8">
            <w:pPr>
              <w:pStyle w:val="ListParagraph"/>
              <w:ind w:left="0"/>
              <w:rPr>
                <w:b/>
                <w:bCs/>
                <w:sz w:val="20"/>
                <w:szCs w:val="20"/>
                <w:lang w:val="en-GB"/>
              </w:rPr>
            </w:pPr>
            <w:r>
              <w:rPr>
                <w:b/>
                <w:bCs/>
                <w:sz w:val="20"/>
                <w:szCs w:val="20"/>
                <w:lang w:val="en-GB"/>
              </w:rPr>
              <w:t>I suggest supplementary references related to the cell lines used in this study.</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7222C8">
        <w:trPr>
          <w:trHeight w:val="386"/>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900E9B" w:rsidRDefault="00F1171E" w:rsidP="007222C8">
            <w:pPr>
              <w:rPr>
                <w:sz w:val="20"/>
                <w:szCs w:val="20"/>
                <w:lang w:val="en-GB"/>
              </w:rPr>
            </w:pPr>
          </w:p>
          <w:p w:rsidR="00F1171E" w:rsidRPr="00D82092" w:rsidRDefault="008C5A03" w:rsidP="007222C8">
            <w:pPr>
              <w:rPr>
                <w:b/>
                <w:sz w:val="20"/>
                <w:szCs w:val="20"/>
                <w:lang w:val="en-GB"/>
              </w:rPr>
            </w:pPr>
            <w:r w:rsidRPr="00D82092">
              <w:rPr>
                <w:b/>
                <w:sz w:val="20"/>
                <w:szCs w:val="20"/>
                <w:lang w:val="en-GB"/>
              </w:rPr>
              <w:t xml:space="preserve">The English written expression is generally good, except for minor flaws; suggested corrections are marked with </w:t>
            </w:r>
            <w:r w:rsidR="00D82092" w:rsidRPr="00D82092">
              <w:rPr>
                <w:b/>
                <w:sz w:val="20"/>
                <w:szCs w:val="20"/>
                <w:lang w:val="en-GB"/>
              </w:rPr>
              <w:t>“</w:t>
            </w:r>
            <w:r w:rsidRPr="00D82092">
              <w:rPr>
                <w:b/>
                <w:sz w:val="20"/>
                <w:szCs w:val="20"/>
                <w:lang w:val="en-GB"/>
              </w:rPr>
              <w:t>Track changes</w:t>
            </w:r>
            <w:r w:rsidR="00D82092" w:rsidRPr="00D82092">
              <w:rPr>
                <w:b/>
                <w:sz w:val="20"/>
                <w:szCs w:val="20"/>
                <w:lang w:val="en-GB"/>
              </w:rPr>
              <w:t>”</w:t>
            </w:r>
            <w:r w:rsidRPr="00D82092">
              <w:rPr>
                <w:b/>
                <w:sz w:val="20"/>
                <w:szCs w:val="20"/>
                <w:lang w:val="en-GB"/>
              </w:rPr>
              <w:t xml:space="preserve"> in the manuscript version “</w:t>
            </w:r>
            <w:r w:rsidR="00D82092" w:rsidRPr="00D82092">
              <w:rPr>
                <w:b/>
                <w:sz w:val="20"/>
                <w:szCs w:val="20"/>
                <w:lang w:val="en-GB"/>
              </w:rPr>
              <w:t>Ms_BPR_4092-corr.docx</w:t>
            </w:r>
            <w:r w:rsidRPr="00D82092">
              <w:rPr>
                <w:b/>
                <w:sz w:val="20"/>
                <w:szCs w:val="20"/>
                <w:lang w:val="en-GB"/>
              </w:rPr>
              <w:t>”</w:t>
            </w:r>
            <w:r w:rsidR="00D82092" w:rsidRPr="00D82092">
              <w:rPr>
                <w:b/>
                <w:sz w:val="20"/>
                <w:szCs w:val="20"/>
                <w:lang w:val="en-GB"/>
              </w:rPr>
              <w:t xml:space="preserve"> sent along with this review.</w:t>
            </w:r>
          </w:p>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c>
          <w:tcPr>
            <w:tcW w:w="1523" w:type="pct"/>
          </w:tcPr>
          <w:p w:rsidR="00F1171E" w:rsidRPr="00900E9B" w:rsidRDefault="00F1171E" w:rsidP="007222C8">
            <w:pPr>
              <w:rPr>
                <w:sz w:val="20"/>
                <w:szCs w:val="20"/>
                <w:lang w:val="en-GB"/>
              </w:rPr>
            </w:pPr>
          </w:p>
        </w:tc>
      </w:tr>
      <w:tr w:rsidR="00F1171E" w:rsidRPr="00900E9B" w:rsidTr="007222C8">
        <w:trPr>
          <w:trHeight w:val="1178"/>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rsidR="00F1171E" w:rsidRPr="00900E9B" w:rsidRDefault="00F1171E" w:rsidP="007222C8">
            <w:pPr>
              <w:pStyle w:val="Heading2"/>
              <w:jc w:val="left"/>
              <w:rPr>
                <w:rFonts w:ascii="Times New Roman" w:hAnsi="Times New Roman"/>
                <w:b w:val="0"/>
                <w:lang w:val="en-GB"/>
              </w:rPr>
            </w:pPr>
          </w:p>
        </w:tc>
        <w:tc>
          <w:tcPr>
            <w:tcW w:w="2212" w:type="pct"/>
          </w:tcPr>
          <w:p w:rsidR="00F1171E" w:rsidRPr="00900E9B" w:rsidRDefault="00F1171E" w:rsidP="007222C8">
            <w:pPr>
              <w:rPr>
                <w:sz w:val="20"/>
                <w:szCs w:val="20"/>
                <w:lang w:val="en-GB"/>
              </w:rPr>
            </w:pPr>
          </w:p>
          <w:p w:rsidR="00F1171E" w:rsidRPr="00900E9B" w:rsidRDefault="00990D00" w:rsidP="007222C8">
            <w:pPr>
              <w:rPr>
                <w:sz w:val="20"/>
                <w:szCs w:val="20"/>
                <w:lang w:val="en-GB"/>
              </w:rPr>
            </w:pPr>
            <w:r>
              <w:rPr>
                <w:sz w:val="20"/>
                <w:szCs w:val="20"/>
                <w:lang w:val="en-GB"/>
              </w:rPr>
              <w:t xml:space="preserve">The </w:t>
            </w:r>
            <w:r w:rsidRPr="00E33A7D">
              <w:rPr>
                <w:b/>
                <w:sz w:val="20"/>
                <w:szCs w:val="20"/>
                <w:lang w:val="en-GB"/>
              </w:rPr>
              <w:t>Methods</w:t>
            </w:r>
            <w:r>
              <w:rPr>
                <w:sz w:val="20"/>
                <w:szCs w:val="20"/>
                <w:lang w:val="en-GB"/>
              </w:rPr>
              <w:t xml:space="preserve"> paragraph describing the two cell lines used in this study could be completed with a brief statement indicating that both cell lines (L-132 and L-02) are not really human alveolar epithelial cells and human hepatocytes of embryonic or fetal origin, as initially considered, but transformed HeLa cell lines (see </w:t>
            </w:r>
            <w:hyperlink r:id="rId11" w:history="1">
              <w:r w:rsidRPr="00903B4A">
                <w:rPr>
                  <w:rStyle w:val="Hyperlink"/>
                  <w:sz w:val="20"/>
                  <w:szCs w:val="20"/>
                  <w:lang w:val="en-GB"/>
                </w:rPr>
                <w:t>https://www.atcc.org/products/ccl-5</w:t>
              </w:r>
            </w:hyperlink>
            <w:r>
              <w:rPr>
                <w:sz w:val="20"/>
                <w:szCs w:val="20"/>
                <w:lang w:val="en-GB"/>
              </w:rPr>
              <w:t xml:space="preserve"> and Shao T, Chen Y-L (2024) </w:t>
            </w:r>
            <w:r w:rsidRPr="00990D00">
              <w:rPr>
                <w:sz w:val="20"/>
                <w:szCs w:val="20"/>
                <w:lang w:val="en-GB"/>
              </w:rPr>
              <w:t>Stop using the misidentified cell line LO2 as a human hepatocyte</w:t>
            </w:r>
            <w:r>
              <w:rPr>
                <w:sz w:val="20"/>
                <w:szCs w:val="20"/>
                <w:lang w:val="en-GB"/>
              </w:rPr>
              <w:t xml:space="preserve">. </w:t>
            </w:r>
            <w:r w:rsidRPr="00990D00">
              <w:rPr>
                <w:i/>
                <w:sz w:val="20"/>
                <w:szCs w:val="20"/>
                <w:lang w:val="en-GB"/>
              </w:rPr>
              <w:t>J Hepatol</w:t>
            </w:r>
            <w:r>
              <w:rPr>
                <w:sz w:val="20"/>
                <w:szCs w:val="20"/>
                <w:lang w:val="en-GB"/>
              </w:rPr>
              <w:t xml:space="preserve"> 80(5):E200-201).</w:t>
            </w:r>
          </w:p>
          <w:p w:rsidR="00F1171E" w:rsidRDefault="00F1171E" w:rsidP="007222C8">
            <w:pPr>
              <w:rPr>
                <w:sz w:val="20"/>
                <w:szCs w:val="20"/>
                <w:lang w:val="en-GB"/>
              </w:rPr>
            </w:pPr>
          </w:p>
          <w:p w:rsidR="00990D00" w:rsidRPr="00900E9B" w:rsidRDefault="007C37AA" w:rsidP="007C37AA">
            <w:pPr>
              <w:rPr>
                <w:sz w:val="20"/>
                <w:szCs w:val="20"/>
                <w:lang w:val="en-GB"/>
              </w:rPr>
            </w:pPr>
            <w:r>
              <w:rPr>
                <w:sz w:val="20"/>
                <w:szCs w:val="20"/>
                <w:lang w:val="en-GB"/>
              </w:rPr>
              <w:t xml:space="preserve">The authors could add to the Discussion a breif description of the inhibitory effects of quercetin on Akt/PI3K and of kaempferol on  NF-κB, and their potential use as senolytic agents, as described for example in Soto-Gamez A, Demaria M (2017) </w:t>
            </w:r>
            <w:r w:rsidRPr="007C37AA">
              <w:rPr>
                <w:sz w:val="20"/>
                <w:szCs w:val="20"/>
                <w:lang w:val="en-GB"/>
              </w:rPr>
              <w:t>Therapeutic interventions for a</w:t>
            </w:r>
            <w:r>
              <w:rPr>
                <w:sz w:val="20"/>
                <w:szCs w:val="20"/>
                <w:lang w:val="en-GB"/>
              </w:rPr>
              <w:t xml:space="preserve">ging: </w:t>
            </w:r>
            <w:r w:rsidRPr="007C37AA">
              <w:rPr>
                <w:sz w:val="20"/>
                <w:szCs w:val="20"/>
                <w:lang w:val="en-GB"/>
              </w:rPr>
              <w:t>the case of cellular senescence</w:t>
            </w:r>
            <w:r>
              <w:rPr>
                <w:sz w:val="20"/>
                <w:szCs w:val="20"/>
                <w:lang w:val="en-GB"/>
              </w:rPr>
              <w:t xml:space="preserve">. </w:t>
            </w:r>
            <w:r w:rsidRPr="007C37AA">
              <w:rPr>
                <w:i/>
                <w:sz w:val="20"/>
                <w:szCs w:val="20"/>
                <w:lang w:val="en-GB"/>
              </w:rPr>
              <w:t>Drug Discovery Today</w:t>
            </w:r>
            <w:r>
              <w:rPr>
                <w:sz w:val="20"/>
                <w:szCs w:val="20"/>
                <w:lang w:val="en-GB"/>
              </w:rPr>
              <w:t xml:space="preserve"> 22(5):786-795.</w:t>
            </w:r>
          </w:p>
          <w:p w:rsidR="00F1171E" w:rsidRDefault="00F1171E" w:rsidP="007222C8">
            <w:pPr>
              <w:rPr>
                <w:sz w:val="20"/>
                <w:szCs w:val="20"/>
                <w:lang w:val="en-GB"/>
              </w:rPr>
            </w:pPr>
          </w:p>
          <w:p w:rsidR="007C37AA" w:rsidRDefault="007351E6" w:rsidP="009B68EC">
            <w:pPr>
              <w:rPr>
                <w:sz w:val="20"/>
                <w:szCs w:val="20"/>
                <w:lang w:val="en-GB"/>
              </w:rPr>
            </w:pPr>
            <w:r>
              <w:rPr>
                <w:sz w:val="20"/>
                <w:szCs w:val="20"/>
                <w:lang w:val="en-GB"/>
              </w:rPr>
              <w:t xml:space="preserve">The authors could also comment on the fact that genetic activation of Nrf2 may prompte development of </w:t>
            </w:r>
            <w:r w:rsidRPr="009B68EC">
              <w:rPr>
                <w:i/>
                <w:sz w:val="20"/>
                <w:szCs w:val="20"/>
                <w:lang w:val="en-GB"/>
              </w:rPr>
              <w:t>de novo</w:t>
            </w:r>
            <w:r>
              <w:rPr>
                <w:sz w:val="20"/>
                <w:szCs w:val="20"/>
                <w:lang w:val="en-GB"/>
              </w:rPr>
              <w:t xml:space="preserve"> malignant tumors </w:t>
            </w:r>
            <w:r w:rsidR="009B68EC">
              <w:rPr>
                <w:sz w:val="20"/>
                <w:szCs w:val="20"/>
                <w:lang w:val="en-GB"/>
              </w:rPr>
              <w:t>(</w:t>
            </w:r>
            <w:r w:rsidR="009B68EC" w:rsidRPr="009B68EC">
              <w:rPr>
                <w:sz w:val="20"/>
                <w:szCs w:val="20"/>
                <w:lang w:val="en-GB"/>
              </w:rPr>
              <w:t>DeNicola GM</w:t>
            </w:r>
            <w:r w:rsidR="009B68EC">
              <w:rPr>
                <w:sz w:val="20"/>
                <w:szCs w:val="20"/>
                <w:lang w:val="en-GB"/>
              </w:rPr>
              <w:t xml:space="preserve"> </w:t>
            </w:r>
            <w:r w:rsidR="009B68EC" w:rsidRPr="009B68EC">
              <w:rPr>
                <w:i/>
                <w:sz w:val="20"/>
                <w:szCs w:val="20"/>
                <w:lang w:val="en-GB"/>
              </w:rPr>
              <w:t>et al</w:t>
            </w:r>
            <w:r w:rsidR="009B68EC">
              <w:rPr>
                <w:sz w:val="20"/>
                <w:szCs w:val="20"/>
                <w:lang w:val="en-GB"/>
              </w:rPr>
              <w:t xml:space="preserve">. (2011) </w:t>
            </w:r>
            <w:r w:rsidR="009B68EC" w:rsidRPr="009B68EC">
              <w:rPr>
                <w:sz w:val="20"/>
                <w:szCs w:val="20"/>
                <w:lang w:val="en-GB"/>
              </w:rPr>
              <w:t>Oncogene-induced Nrf2 transcription promotes ROS d</w:t>
            </w:r>
            <w:r w:rsidR="009B68EC">
              <w:rPr>
                <w:sz w:val="20"/>
                <w:szCs w:val="20"/>
                <w:lang w:val="en-GB"/>
              </w:rPr>
              <w:t xml:space="preserve">etoxification and tumorigenesis. </w:t>
            </w:r>
            <w:r w:rsidR="009B68EC" w:rsidRPr="009B68EC">
              <w:rPr>
                <w:i/>
                <w:sz w:val="20"/>
                <w:szCs w:val="20"/>
                <w:lang w:val="en-GB"/>
              </w:rPr>
              <w:t>Nature</w:t>
            </w:r>
            <w:r w:rsidR="009B68EC">
              <w:rPr>
                <w:sz w:val="20"/>
                <w:szCs w:val="20"/>
                <w:lang w:val="en-GB"/>
              </w:rPr>
              <w:t xml:space="preserve"> 475(7354):</w:t>
            </w:r>
            <w:r w:rsidR="009B68EC" w:rsidRPr="009B68EC">
              <w:rPr>
                <w:sz w:val="20"/>
                <w:szCs w:val="20"/>
                <w:lang w:val="en-GB"/>
              </w:rPr>
              <w:t>106–</w:t>
            </w:r>
            <w:r w:rsidR="009B68EC">
              <w:rPr>
                <w:sz w:val="20"/>
                <w:szCs w:val="20"/>
                <w:lang w:val="en-GB"/>
              </w:rPr>
              <w:t>10</w:t>
            </w:r>
            <w:r w:rsidR="009B68EC" w:rsidRPr="009B68EC">
              <w:rPr>
                <w:sz w:val="20"/>
                <w:szCs w:val="20"/>
                <w:lang w:val="en-GB"/>
              </w:rPr>
              <w:t>9</w:t>
            </w:r>
            <w:r w:rsidR="009B68EC">
              <w:rPr>
                <w:sz w:val="20"/>
                <w:szCs w:val="20"/>
                <w:lang w:val="en-GB"/>
              </w:rPr>
              <w:t xml:space="preserve">) and atherosclerosis by increasing plasma and liver cholesterol levels (Barajas B </w:t>
            </w:r>
            <w:r w:rsidR="009B68EC" w:rsidRPr="009B68EC">
              <w:rPr>
                <w:i/>
                <w:sz w:val="20"/>
                <w:szCs w:val="20"/>
                <w:lang w:val="en-GB"/>
              </w:rPr>
              <w:t>et al</w:t>
            </w:r>
            <w:r w:rsidR="009B68EC">
              <w:rPr>
                <w:sz w:val="20"/>
                <w:szCs w:val="20"/>
                <w:lang w:val="en-GB"/>
              </w:rPr>
              <w:t xml:space="preserve">. (2011) </w:t>
            </w:r>
            <w:r w:rsidR="009B68EC" w:rsidRPr="009B68EC">
              <w:rPr>
                <w:sz w:val="20"/>
                <w:szCs w:val="20"/>
                <w:lang w:val="en-GB"/>
              </w:rPr>
              <w:t>NF-E2-related factor 2 promotes atherosclerosis by effects on plasma lipoproteins and cholesterol transport that ov</w:t>
            </w:r>
            <w:r w:rsidR="009B68EC">
              <w:rPr>
                <w:sz w:val="20"/>
                <w:szCs w:val="20"/>
                <w:lang w:val="en-GB"/>
              </w:rPr>
              <w:t>ershadow antioxidant protection</w:t>
            </w:r>
            <w:r w:rsidR="009B68EC" w:rsidRPr="009B68EC">
              <w:rPr>
                <w:sz w:val="20"/>
                <w:szCs w:val="20"/>
                <w:lang w:val="en-GB"/>
              </w:rPr>
              <w:t xml:space="preserve">. </w:t>
            </w:r>
            <w:r w:rsidR="009B68EC" w:rsidRPr="009B68EC">
              <w:rPr>
                <w:i/>
                <w:sz w:val="20"/>
                <w:szCs w:val="20"/>
                <w:lang w:val="en-GB"/>
              </w:rPr>
              <w:t>Arteriosclerosis, Thrombosis, and Vascular Biology</w:t>
            </w:r>
            <w:r w:rsidR="009B68EC">
              <w:rPr>
                <w:sz w:val="20"/>
                <w:szCs w:val="20"/>
                <w:lang w:val="en-GB"/>
              </w:rPr>
              <w:t xml:space="preserve"> 31(1):</w:t>
            </w:r>
            <w:r w:rsidR="009B68EC" w:rsidRPr="009B68EC">
              <w:rPr>
                <w:sz w:val="20"/>
                <w:szCs w:val="20"/>
                <w:lang w:val="en-GB"/>
              </w:rPr>
              <w:t>58–66</w:t>
            </w:r>
            <w:r w:rsidR="009B68EC">
              <w:rPr>
                <w:sz w:val="20"/>
                <w:szCs w:val="20"/>
                <w:lang w:val="en-GB"/>
              </w:rPr>
              <w:t>), which may impose caution when applying the remedy they propose.</w:t>
            </w:r>
          </w:p>
          <w:p w:rsidR="00A82A45" w:rsidRDefault="00A82A45" w:rsidP="009B68EC">
            <w:pPr>
              <w:rPr>
                <w:sz w:val="20"/>
                <w:szCs w:val="20"/>
                <w:lang w:val="en-GB"/>
              </w:rPr>
            </w:pPr>
          </w:p>
          <w:p w:rsidR="00A82A45" w:rsidRDefault="00A82A45" w:rsidP="009B68EC">
            <w:pPr>
              <w:rPr>
                <w:sz w:val="20"/>
                <w:szCs w:val="20"/>
                <w:lang w:val="en-GB"/>
              </w:rPr>
            </w:pPr>
            <w:r>
              <w:rPr>
                <w:sz w:val="20"/>
                <w:szCs w:val="20"/>
                <w:lang w:val="en-GB"/>
              </w:rPr>
              <w:t xml:space="preserve">Several minor corrections and style improvements are required. Some suggested changes are </w:t>
            </w:r>
            <w:r w:rsidRPr="00A82A45">
              <w:rPr>
                <w:sz w:val="20"/>
                <w:szCs w:val="20"/>
                <w:lang w:val="en-GB"/>
              </w:rPr>
              <w:t>marked with “Track changes” in the manuscript version “Ms_BPR_4092-corr.docx” sent along with this review.</w:t>
            </w:r>
          </w:p>
          <w:p w:rsidR="00A82A45" w:rsidRDefault="00A82A45" w:rsidP="009B68EC">
            <w:pPr>
              <w:rPr>
                <w:sz w:val="20"/>
                <w:szCs w:val="20"/>
                <w:lang w:val="en-GB"/>
              </w:rPr>
            </w:pPr>
          </w:p>
          <w:p w:rsidR="00A82A45" w:rsidRPr="00900E9B" w:rsidRDefault="00A82A45" w:rsidP="009B68EC">
            <w:pPr>
              <w:rPr>
                <w:sz w:val="20"/>
                <w:szCs w:val="20"/>
                <w:lang w:val="en-GB"/>
              </w:rPr>
            </w:pPr>
            <w:r>
              <w:rPr>
                <w:sz w:val="20"/>
                <w:szCs w:val="20"/>
                <w:lang w:val="en-GB"/>
              </w:rPr>
              <w:t>Particularly, “Calorimetric ELISA” should be replaced with “Colorimetric ELISA” throughout the text.</w:t>
            </w: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6831"/>
        <w:gridCol w:w="8642"/>
        <w:gridCol w:w="5677"/>
      </w:tblGrid>
      <w:tr w:rsidR="00F1171E" w:rsidRPr="00900E9B"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rsidTr="007222C8">
        <w:trPr>
          <w:trHeight w:val="935"/>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D82092" w:rsidRDefault="00D82092" w:rsidP="007222C8">
            <w:pPr>
              <w:pStyle w:val="NormalWeb"/>
              <w:spacing w:before="0" w:beforeAutospacing="0" w:after="0" w:afterAutospacing="0"/>
              <w:rPr>
                <w:rFonts w:ascii="Times New Roman" w:hAnsi="Times New Roman" w:cs="Times New Roman"/>
                <w:b/>
                <w:sz w:val="20"/>
                <w:szCs w:val="20"/>
                <w:lang w:val="en-GB"/>
              </w:rPr>
            </w:pPr>
            <w:r w:rsidRPr="00D82092">
              <w:rPr>
                <w:rFonts w:ascii="Times New Roman" w:hAnsi="Times New Roman" w:cs="Times New Roman"/>
                <w:b/>
                <w:sz w:val="20"/>
                <w:szCs w:val="20"/>
                <w:lang w:val="en-GB"/>
              </w:rPr>
              <w:t>No.</w:t>
            </w:r>
          </w:p>
        </w:tc>
        <w:tc>
          <w:tcPr>
            <w:tcW w:w="1342" w:type="pct"/>
            <w:shd w:val="clear" w:color="auto" w:fill="auto"/>
            <w:vAlign w:val="center"/>
          </w:tcPr>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rPr>
                <w:rFonts w:eastAsia="Arial Unicode MS"/>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F1171E" w:rsidRDefault="00F1171E" w:rsidP="007222C8">
            <w:pPr>
              <w:rPr>
                <w:sz w:val="20"/>
                <w:szCs w:val="20"/>
                <w:lang w:val="en-GB"/>
              </w:rPr>
            </w:pPr>
          </w:p>
          <w:p w:rsidR="00D82092" w:rsidRPr="00900E9B" w:rsidRDefault="00D82092" w:rsidP="007222C8">
            <w:pPr>
              <w:rPr>
                <w:sz w:val="20"/>
                <w:szCs w:val="20"/>
                <w:lang w:val="en-GB"/>
              </w:rPr>
            </w:pPr>
            <w:r w:rsidRPr="00D82092">
              <w:rPr>
                <w:b/>
                <w:sz w:val="20"/>
                <w:szCs w:val="20"/>
                <w:lang w:val="en-GB"/>
              </w:rPr>
              <w:t>No.</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r w:rsidR="00F1171E" w:rsidRPr="00900E9B" w:rsidTr="007222C8">
        <w:trPr>
          <w:trHeight w:val="697"/>
        </w:trPr>
        <w:tc>
          <w:tcPr>
            <w:tcW w:w="1615"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F1171E" w:rsidRDefault="00F1171E" w:rsidP="007222C8">
            <w:pPr>
              <w:rPr>
                <w:sz w:val="20"/>
                <w:szCs w:val="20"/>
                <w:lang w:val="en-GB"/>
              </w:rPr>
            </w:pPr>
          </w:p>
          <w:p w:rsidR="00D82092" w:rsidRPr="00900E9B" w:rsidRDefault="00D82092" w:rsidP="007222C8">
            <w:pPr>
              <w:rPr>
                <w:sz w:val="20"/>
                <w:szCs w:val="20"/>
                <w:lang w:val="en-GB"/>
              </w:rPr>
            </w:pPr>
            <w:r w:rsidRPr="00D82092">
              <w:rPr>
                <w:b/>
                <w:sz w:val="20"/>
                <w:szCs w:val="20"/>
                <w:lang w:val="en-GB"/>
              </w:rPr>
              <w:t>No.</w:t>
            </w:r>
          </w:p>
        </w:tc>
        <w:tc>
          <w:tcPr>
            <w:tcW w:w="1342" w:type="pct"/>
            <w:shd w:val="clear" w:color="auto" w:fill="auto"/>
          </w:tcPr>
          <w:p w:rsidR="00F1171E" w:rsidRPr="00900E9B" w:rsidRDefault="00F1171E" w:rsidP="007222C8">
            <w:pPr>
              <w:rPr>
                <w:sz w:val="20"/>
                <w:szCs w:val="20"/>
                <w:lang w:val="en-GB"/>
              </w:rPr>
            </w:pPr>
          </w:p>
          <w:p w:rsidR="00F1171E" w:rsidRPr="00900E9B" w:rsidRDefault="00F1171E" w:rsidP="007222C8">
            <w:pPr>
              <w:rPr>
                <w:sz w:val="20"/>
                <w:szCs w:val="20"/>
                <w:lang w:val="en-GB"/>
              </w:rPr>
            </w:pPr>
          </w:p>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21150"/>
      </w:tblGrid>
      <w:tr w:rsidR="00F1171E" w:rsidRPr="00900E9B"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5000"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D82092" w:rsidRDefault="00D82092" w:rsidP="007222C8">
            <w:pPr>
              <w:pStyle w:val="NormalWeb"/>
              <w:spacing w:before="0" w:beforeAutospacing="0" w:after="0" w:afterAutospacing="0"/>
              <w:rPr>
                <w:rFonts w:ascii="Times New Roman" w:hAnsi="Times New Roman" w:cs="Times New Roman"/>
                <w:b/>
                <w:sz w:val="20"/>
                <w:szCs w:val="20"/>
                <w:lang w:val="en-GB"/>
              </w:rPr>
            </w:pPr>
            <w:r w:rsidRPr="00D82092">
              <w:rPr>
                <w:rFonts w:ascii="Times New Roman" w:hAnsi="Times New Roman" w:cs="Times New Roman"/>
                <w:b/>
                <w:sz w:val="20"/>
                <w:szCs w:val="20"/>
                <w:lang w:val="en-GB"/>
              </w:rPr>
              <w:t>I declare that I have no competing interest</w:t>
            </w:r>
            <w:r>
              <w:rPr>
                <w:rFonts w:ascii="Times New Roman" w:hAnsi="Times New Roman" w:cs="Times New Roman"/>
                <w:b/>
                <w:sz w:val="20"/>
                <w:szCs w:val="20"/>
                <w:lang w:val="en-GB"/>
              </w:rPr>
              <w:t xml:space="preserve"> related to this study</w:t>
            </w:r>
            <w:r w:rsidRPr="00D82092">
              <w:rPr>
                <w:rFonts w:ascii="Times New Roman" w:hAnsi="Times New Roman" w:cs="Times New Roman"/>
                <w:b/>
                <w:sz w:val="20"/>
                <w:szCs w:val="20"/>
                <w:lang w:val="en-GB"/>
              </w:rPr>
              <w:t xml:space="preserve"> as a reviewer.</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F1171E" w:rsidRPr="00900E9B" w:rsidRDefault="00D82092"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9 (minor revision)</w:t>
            </w:r>
          </w:p>
        </w:tc>
      </w:tr>
    </w:tbl>
    <w:p w:rsidR="00F1171E" w:rsidRPr="00900E9B" w:rsidRDefault="00F1171E" w:rsidP="00F1171E">
      <w:pPr>
        <w:rPr>
          <w:sz w:val="20"/>
          <w:szCs w:val="20"/>
          <w:lang w:val="en-GB"/>
        </w:rPr>
      </w:pPr>
    </w:p>
    <w:p w:rsidR="00F1171E" w:rsidRPr="00900E9B" w:rsidRDefault="00F1171E" w:rsidP="00F1171E">
      <w:pPr>
        <w:rPr>
          <w:sz w:val="20"/>
          <w:szCs w:val="20"/>
          <w:lang w:val="en-GB"/>
        </w:rPr>
      </w:pPr>
    </w:p>
    <w:p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F1171E" w:rsidRPr="00900E9B"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rsidTr="007222C8">
        <w:tc>
          <w:tcPr>
            <w:tcW w:w="2727" w:type="pct"/>
            <w:shd w:val="clear" w:color="auto" w:fill="auto"/>
            <w:noWrap/>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highlight w:val="yellow"/>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F1171E" w:rsidRPr="00900E9B" w:rsidRDefault="00F1171E" w:rsidP="00F1171E">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p>
    <w:p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867E37" w:rsidRPr="00900E9B" w:rsidRDefault="00867E37" w:rsidP="00867E37">
      <w:pPr>
        <w:rPr>
          <w:sz w:val="20"/>
          <w:szCs w:val="20"/>
          <w:lang w:val="en-GB"/>
        </w:rPr>
      </w:pPr>
    </w:p>
    <w:p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11840"/>
      </w:tblGrid>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Name of the Reviewer</w:t>
            </w:r>
          </w:p>
        </w:tc>
        <w:tc>
          <w:tcPr>
            <w:tcW w:w="11840" w:type="dxa"/>
          </w:tcPr>
          <w:p w:rsidR="00867E37" w:rsidRPr="00900E9B" w:rsidRDefault="003E022C" w:rsidP="00134A75">
            <w:pPr>
              <w:rPr>
                <w:sz w:val="20"/>
                <w:szCs w:val="20"/>
                <w:lang w:val="en-GB"/>
              </w:rPr>
            </w:pPr>
            <w:r>
              <w:rPr>
                <w:sz w:val="20"/>
                <w:szCs w:val="20"/>
                <w:lang w:val="en-GB"/>
              </w:rPr>
              <w:t>Bogdan Amuzescu</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Department of Reviewer</w:t>
            </w:r>
          </w:p>
        </w:tc>
        <w:tc>
          <w:tcPr>
            <w:tcW w:w="11840" w:type="dxa"/>
          </w:tcPr>
          <w:p w:rsidR="00867E37" w:rsidRPr="00900E9B" w:rsidRDefault="003E022C" w:rsidP="00134A75">
            <w:pPr>
              <w:rPr>
                <w:sz w:val="20"/>
                <w:szCs w:val="20"/>
                <w:lang w:val="en-GB"/>
              </w:rPr>
            </w:pPr>
            <w:r>
              <w:rPr>
                <w:sz w:val="20"/>
                <w:szCs w:val="20"/>
                <w:lang w:val="en-GB"/>
              </w:rPr>
              <w:t>Dept. Biophysics &amp; Physiology, Faculty of Biology</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rsidR="00867E37" w:rsidRPr="00900E9B" w:rsidRDefault="003E022C" w:rsidP="00134A75">
            <w:pPr>
              <w:rPr>
                <w:sz w:val="20"/>
                <w:szCs w:val="20"/>
                <w:lang w:val="en-GB"/>
              </w:rPr>
            </w:pPr>
            <w:r>
              <w:rPr>
                <w:sz w:val="20"/>
                <w:szCs w:val="20"/>
                <w:lang w:val="en-GB"/>
              </w:rPr>
              <w:t>University of Bucharest</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Country of Reviewer</w:t>
            </w:r>
          </w:p>
        </w:tc>
        <w:tc>
          <w:tcPr>
            <w:tcW w:w="11840" w:type="dxa"/>
          </w:tcPr>
          <w:p w:rsidR="00867E37" w:rsidRPr="00900E9B" w:rsidRDefault="003E022C" w:rsidP="00134A75">
            <w:pPr>
              <w:rPr>
                <w:sz w:val="20"/>
                <w:szCs w:val="20"/>
                <w:lang w:val="en-GB"/>
              </w:rPr>
            </w:pPr>
            <w:r>
              <w:rPr>
                <w:sz w:val="20"/>
                <w:szCs w:val="20"/>
                <w:lang w:val="en-GB"/>
              </w:rPr>
              <w:t>Romania</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rsidR="00867E37" w:rsidRPr="00900E9B" w:rsidRDefault="003E022C" w:rsidP="00134A75">
            <w:pPr>
              <w:rPr>
                <w:sz w:val="20"/>
                <w:szCs w:val="20"/>
                <w:lang w:val="en-GB"/>
              </w:rPr>
            </w:pPr>
            <w:r>
              <w:rPr>
                <w:sz w:val="20"/>
                <w:szCs w:val="20"/>
                <w:lang w:val="en-GB"/>
              </w:rPr>
              <w:t>Assoc. prof.</w:t>
            </w:r>
          </w:p>
        </w:tc>
      </w:tr>
      <w:tr w:rsidR="00867E37" w:rsidRPr="00900E9B" w:rsidTr="00134A75">
        <w:tc>
          <w:tcPr>
            <w:tcW w:w="4428" w:type="dxa"/>
          </w:tcPr>
          <w:p w:rsidR="00867E37" w:rsidRPr="00900E9B" w:rsidRDefault="00867E37" w:rsidP="00134A75">
            <w:pPr>
              <w:rPr>
                <w:sz w:val="20"/>
                <w:szCs w:val="20"/>
                <w:lang w:val="en-GB"/>
              </w:rPr>
            </w:pPr>
            <w:r w:rsidRPr="00900E9B">
              <w:rPr>
                <w:sz w:val="20"/>
                <w:szCs w:val="20"/>
                <w:lang w:val="en-GB"/>
              </w:rPr>
              <w:t>Email ID of Reviewer</w:t>
            </w:r>
          </w:p>
        </w:tc>
        <w:tc>
          <w:tcPr>
            <w:tcW w:w="11840" w:type="dxa"/>
          </w:tcPr>
          <w:p w:rsidR="00867E37" w:rsidRPr="00900E9B" w:rsidRDefault="0062059B" w:rsidP="00134A75">
            <w:pPr>
              <w:rPr>
                <w:sz w:val="20"/>
                <w:szCs w:val="20"/>
                <w:lang w:val="en-GB"/>
              </w:rPr>
            </w:pPr>
            <w:hyperlink r:id="rId12" w:history="1">
              <w:r w:rsidRPr="00903B4A">
                <w:rPr>
                  <w:rStyle w:val="Hyperlink"/>
                  <w:sz w:val="20"/>
                  <w:szCs w:val="20"/>
                  <w:lang w:val="en-GB"/>
                </w:rPr>
                <w:t>bogdan@biologie.kappa.ro</w:t>
              </w:r>
            </w:hyperlink>
            <w:r>
              <w:rPr>
                <w:sz w:val="20"/>
                <w:szCs w:val="20"/>
                <w:lang w:val="en-GB"/>
              </w:rPr>
              <w:t xml:space="preserve">, </w:t>
            </w:r>
            <w:hyperlink r:id="rId13" w:history="1">
              <w:r w:rsidRPr="00903B4A">
                <w:rPr>
                  <w:rStyle w:val="Hyperlink"/>
                  <w:sz w:val="20"/>
                  <w:szCs w:val="20"/>
                  <w:lang w:val="en-GB"/>
                </w:rPr>
                <w:t>bamuzesc@yahoo.com</w:t>
              </w:r>
            </w:hyperlink>
            <w:r>
              <w:rPr>
                <w:sz w:val="20"/>
                <w:szCs w:val="20"/>
                <w:lang w:val="en-GB"/>
              </w:rPr>
              <w:t xml:space="preserve"> </w:t>
            </w:r>
          </w:p>
        </w:tc>
      </w:tr>
      <w:tr w:rsidR="00867E37" w:rsidRPr="00900E9B" w:rsidTr="00134A75">
        <w:trPr>
          <w:trHeight w:val="77"/>
        </w:trPr>
        <w:tc>
          <w:tcPr>
            <w:tcW w:w="4428" w:type="dxa"/>
          </w:tcPr>
          <w:p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rsidR="00867E37" w:rsidRPr="00900E9B" w:rsidRDefault="00867E37" w:rsidP="00134A75">
            <w:pPr>
              <w:rPr>
                <w:sz w:val="20"/>
                <w:szCs w:val="20"/>
                <w:lang w:val="en-GB"/>
              </w:rPr>
            </w:pPr>
          </w:p>
        </w:tc>
      </w:tr>
      <w:tr w:rsidR="00867E37" w:rsidRPr="00900E9B" w:rsidTr="00134A75">
        <w:tc>
          <w:tcPr>
            <w:tcW w:w="4428" w:type="dxa"/>
          </w:tcPr>
          <w:p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867E37" w:rsidRPr="00900E9B" w:rsidRDefault="003E022C" w:rsidP="00134A75">
            <w:pPr>
              <w:rPr>
                <w:sz w:val="20"/>
                <w:szCs w:val="20"/>
                <w:lang w:val="en-GB"/>
              </w:rPr>
            </w:pPr>
            <w:r>
              <w:rPr>
                <w:sz w:val="20"/>
                <w:szCs w:val="20"/>
                <w:lang w:val="en-GB"/>
              </w:rPr>
              <w:t>Electrophysiology – patch-clamp, molecular biology, pharmacology, molecular modeling, safety pharmacology</w:t>
            </w:r>
          </w:p>
        </w:tc>
      </w:tr>
    </w:tbl>
    <w:p w:rsidR="00F1171E" w:rsidRPr="00900E9B" w:rsidRDefault="00F1171E" w:rsidP="00F1171E">
      <w:pPr>
        <w:pStyle w:val="BodyText"/>
        <w:rPr>
          <w:rFonts w:ascii="Times New Roman" w:hAnsi="Times New Roman"/>
          <w:b/>
          <w:bCs/>
          <w:sz w:val="20"/>
          <w:szCs w:val="20"/>
          <w:u w:val="single"/>
          <w:lang w:val="en-GB"/>
        </w:rPr>
      </w:pPr>
    </w:p>
    <w:p w:rsidR="00F1171E" w:rsidRPr="00F245A7" w:rsidRDefault="00F1171E" w:rsidP="00F1171E">
      <w:pPr>
        <w:pStyle w:val="BodyText"/>
        <w:rPr>
          <w:rFonts w:ascii="Arial" w:hAnsi="Arial" w:cs="Arial"/>
          <w:bCs/>
          <w:sz w:val="20"/>
          <w:szCs w:val="20"/>
          <w:lang w:val="en-GB"/>
        </w:rPr>
      </w:pPr>
    </w:p>
    <w:p w:rsidR="004C3DF1" w:rsidRPr="00DE7D30" w:rsidRDefault="004C3DF1">
      <w:pPr>
        <w:rPr>
          <w:rFonts w:ascii="Arial" w:hAnsi="Arial" w:cs="Arial"/>
          <w:b/>
          <w:sz w:val="20"/>
          <w:szCs w:val="20"/>
          <w:lang w:val="en-GB"/>
        </w:rPr>
      </w:pPr>
    </w:p>
    <w:sectPr w:rsidR="004C3DF1" w:rsidRPr="00DE7D30" w:rsidSect="0017545C">
      <w:headerReference w:type="default" r:id="rId14"/>
      <w:footerReference w:type="default" r:id="rId15"/>
      <w:pgSz w:w="23814" w:h="16839" w:orient="landscape" w:code="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39A" w:rsidRPr="0000007A" w:rsidRDefault="0092639A" w:rsidP="0099583E">
      <w:r>
        <w:separator/>
      </w:r>
    </w:p>
  </w:endnote>
  <w:endnote w:type="continuationSeparator" w:id="0">
    <w:p w:rsidR="0092639A" w:rsidRPr="0000007A" w:rsidRDefault="0092639A" w:rsidP="00995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39A" w:rsidRPr="0000007A" w:rsidRDefault="0092639A" w:rsidP="0099583E">
      <w:r>
        <w:separator/>
      </w:r>
    </w:p>
  </w:footnote>
  <w:footnote w:type="continuationSeparator" w:id="0">
    <w:p w:rsidR="0092639A" w:rsidRPr="0000007A" w:rsidRDefault="0092639A" w:rsidP="00995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grammar="clean"/>
  <w:defaultTabStop w:val="720"/>
  <w:hyphenationZone w:val="425"/>
  <w:drawingGridHorizontalSpacing w:val="120"/>
  <w:displayHorizontalDrawingGridEvery w:val="2"/>
  <w:characterSpacingControl w:val="doNotCompress"/>
  <w:hdrShapeDefaults>
    <o:shapedefaults v:ext="edit" spidmax="409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0E95"/>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1B3D"/>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907"/>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22C"/>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02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59B"/>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1E6"/>
    <w:rsid w:val="0073538B"/>
    <w:rsid w:val="00737BC9"/>
    <w:rsid w:val="0074253C"/>
    <w:rsid w:val="007426E6"/>
    <w:rsid w:val="00751520"/>
    <w:rsid w:val="00766889"/>
    <w:rsid w:val="00766A0D"/>
    <w:rsid w:val="00767F8C"/>
    <w:rsid w:val="00780B67"/>
    <w:rsid w:val="00781D07"/>
    <w:rsid w:val="007A62F8"/>
    <w:rsid w:val="007B1099"/>
    <w:rsid w:val="007B54A4"/>
    <w:rsid w:val="007C37AA"/>
    <w:rsid w:val="007C6CDF"/>
    <w:rsid w:val="007D0246"/>
    <w:rsid w:val="007D7A48"/>
    <w:rsid w:val="007F5873"/>
    <w:rsid w:val="008126B7"/>
    <w:rsid w:val="00815F94"/>
    <w:rsid w:val="008224E2"/>
    <w:rsid w:val="00825DC9"/>
    <w:rsid w:val="0082676D"/>
    <w:rsid w:val="008324FC"/>
    <w:rsid w:val="00846F1F"/>
    <w:rsid w:val="008470AB"/>
    <w:rsid w:val="0085546D"/>
    <w:rsid w:val="0086369B"/>
    <w:rsid w:val="00867E37"/>
    <w:rsid w:val="0087201B"/>
    <w:rsid w:val="0087440A"/>
    <w:rsid w:val="00877F10"/>
    <w:rsid w:val="00882091"/>
    <w:rsid w:val="00893E75"/>
    <w:rsid w:val="00895D0A"/>
    <w:rsid w:val="008B265C"/>
    <w:rsid w:val="008C2F62"/>
    <w:rsid w:val="008C4B1F"/>
    <w:rsid w:val="008C5A03"/>
    <w:rsid w:val="008C75AD"/>
    <w:rsid w:val="008D020E"/>
    <w:rsid w:val="008E5067"/>
    <w:rsid w:val="008F036B"/>
    <w:rsid w:val="008F36E4"/>
    <w:rsid w:val="0090720F"/>
    <w:rsid w:val="00911E69"/>
    <w:rsid w:val="009245E3"/>
    <w:rsid w:val="0092639A"/>
    <w:rsid w:val="00942DEE"/>
    <w:rsid w:val="00944F67"/>
    <w:rsid w:val="009553EC"/>
    <w:rsid w:val="00955E45"/>
    <w:rsid w:val="00962B70"/>
    <w:rsid w:val="00967C62"/>
    <w:rsid w:val="00982766"/>
    <w:rsid w:val="009852C4"/>
    <w:rsid w:val="00990D00"/>
    <w:rsid w:val="0099583E"/>
    <w:rsid w:val="009A0242"/>
    <w:rsid w:val="009A59ED"/>
    <w:rsid w:val="009B101F"/>
    <w:rsid w:val="009B239B"/>
    <w:rsid w:val="009B68E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2A45"/>
    <w:rsid w:val="00AA41B3"/>
    <w:rsid w:val="00AA49A2"/>
    <w:rsid w:val="00AA5338"/>
    <w:rsid w:val="00AB1ED6"/>
    <w:rsid w:val="00AB397D"/>
    <w:rsid w:val="00AB638A"/>
    <w:rsid w:val="00AB65BF"/>
    <w:rsid w:val="00AB6E43"/>
    <w:rsid w:val="00AC1349"/>
    <w:rsid w:val="00AD6C51"/>
    <w:rsid w:val="00AD7CF6"/>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2092"/>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33A7D"/>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8F1"/>
    <w:rsid w:val="00FC6387"/>
    <w:rsid w:val="00FC6802"/>
    <w:rsid w:val="00FD53AB"/>
    <w:rsid w:val="00FD70A7"/>
    <w:rsid w:val="00FF09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yperlink" Target="mailto:bamuzesc@yahoo.com" TargetMode="Externa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12" Type="http://schemas.openxmlformats.org/officeDocument/2006/relationships/hyperlink" Target="mailto:bogdan@biologie.kappa.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cc.org/products/ccl-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5</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bogdan</cp:lastModifiedBy>
  <cp:revision>112</cp:revision>
  <dcterms:created xsi:type="dcterms:W3CDTF">2023-08-30T09:21:00Z</dcterms:created>
  <dcterms:modified xsi:type="dcterms:W3CDTF">2024-12-31T13:18:00Z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