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900" w:rsidRPr="001E6D7D" w:rsidRDefault="00D244D0">
      <w:pPr>
        <w:rPr>
          <w:rFonts w:ascii="Times New Roman" w:hAnsi="Times New Roman" w:cs="Times New Roman"/>
          <w:b/>
          <w:bCs/>
          <w:sz w:val="24"/>
          <w:szCs w:val="24"/>
          <w:u w:val="single"/>
          <w:lang w:val="nb-NO"/>
        </w:rPr>
      </w:pPr>
      <w:bookmarkStart w:id="0" w:name="_Hlk185681044"/>
      <w:r>
        <w:rPr>
          <w:rStyle w:val="ab"/>
        </w:rPr>
        <w:commentReference w:id="1"/>
      </w:r>
    </w:p>
    <w:p w:rsidR="00A22900" w:rsidRDefault="00B629E3" w:rsidP="00D244D0">
      <w:pPr>
        <w:outlineLvl w:val="0"/>
        <w:rPr>
          <w:rFonts w:ascii="Times New Roman" w:hAnsi="Times New Roman" w:cs="Times New Roman"/>
          <w:sz w:val="24"/>
          <w:szCs w:val="24"/>
          <w:lang w:val="nb-NO"/>
        </w:rPr>
      </w:pPr>
      <w:r w:rsidRPr="001E6D7D">
        <w:rPr>
          <w:rFonts w:ascii="Times New Roman" w:hAnsi="Times New Roman" w:cs="Times New Roman"/>
          <w:b/>
          <w:bCs/>
          <w:sz w:val="24"/>
          <w:szCs w:val="24"/>
          <w:u w:val="single"/>
          <w:lang w:val="nb-NO"/>
        </w:rPr>
        <w:t>Non type 1 and 2 diabetes mellitus</w:t>
      </w:r>
    </w:p>
    <w:p w:rsidR="00B940F8" w:rsidRDefault="00B940F8">
      <w:pPr>
        <w:rPr>
          <w:rFonts w:ascii="Times New Roman" w:hAnsi="Times New Roman" w:cs="Times New Roman"/>
          <w:sz w:val="24"/>
          <w:szCs w:val="24"/>
          <w:lang w:val="nb-NO"/>
        </w:rPr>
      </w:pPr>
    </w:p>
    <w:p w:rsidR="00B940F8" w:rsidRPr="001E6D7D" w:rsidRDefault="00B940F8">
      <w:pPr>
        <w:rPr>
          <w:rFonts w:ascii="Times New Roman" w:hAnsi="Times New Roman" w:cs="Times New Roman"/>
          <w:sz w:val="24"/>
          <w:szCs w:val="24"/>
          <w:lang w:val="nb-NO"/>
        </w:rPr>
      </w:pPr>
    </w:p>
    <w:p w:rsidR="00A22900" w:rsidRPr="001E6D7D" w:rsidRDefault="00A22900">
      <w:pPr>
        <w:rPr>
          <w:rFonts w:ascii="Times New Roman" w:hAnsi="Times New Roman" w:cs="Times New Roman"/>
          <w:sz w:val="24"/>
          <w:szCs w:val="24"/>
          <w:lang w:val="nb-NO"/>
        </w:rPr>
      </w:pPr>
    </w:p>
    <w:bookmarkEnd w:id="0"/>
    <w:p w:rsidR="001539B6" w:rsidRDefault="001539B6">
      <w:pPr>
        <w:rPr>
          <w:rFonts w:ascii="Times New Roman" w:hAnsi="Times New Roman" w:cs="Times New Roman"/>
          <w:sz w:val="24"/>
          <w:szCs w:val="24"/>
        </w:rPr>
      </w:pPr>
    </w:p>
    <w:p w:rsidR="001539B6" w:rsidRDefault="001539B6" w:rsidP="00D244D0">
      <w:pPr>
        <w:outlineLvl w:val="0"/>
        <w:rPr>
          <w:rFonts w:ascii="Times New Roman" w:hAnsi="Times New Roman" w:cs="Times New Roman"/>
          <w:sz w:val="24"/>
          <w:szCs w:val="24"/>
        </w:rPr>
      </w:pPr>
      <w:commentRangeStart w:id="2"/>
      <w:r>
        <w:rPr>
          <w:rFonts w:ascii="Times New Roman" w:hAnsi="Times New Roman" w:cs="Times New Roman"/>
          <w:sz w:val="24"/>
          <w:szCs w:val="24"/>
        </w:rPr>
        <w:t>INTRODUCTION</w:t>
      </w:r>
      <w:commentRangeEnd w:id="2"/>
      <w:r w:rsidR="00A54098">
        <w:rPr>
          <w:rStyle w:val="ab"/>
        </w:rPr>
        <w:commentReference w:id="2"/>
      </w:r>
    </w:p>
    <w:p w:rsidR="001539B6" w:rsidRDefault="001539B6">
      <w:pPr>
        <w:rPr>
          <w:rFonts w:ascii="Times New Roman" w:hAnsi="Times New Roman" w:cs="Times New Roman"/>
          <w:sz w:val="24"/>
          <w:szCs w:val="24"/>
        </w:rPr>
      </w:pPr>
    </w:p>
    <w:p w:rsidR="00227F96" w:rsidRPr="00280742" w:rsidRDefault="00A22900" w:rsidP="00D244D0">
      <w:pPr>
        <w:outlineLvl w:val="0"/>
        <w:rPr>
          <w:rFonts w:ascii="Times New Roman" w:hAnsi="Times New Roman" w:cs="Times New Roman"/>
          <w:sz w:val="24"/>
          <w:szCs w:val="24"/>
        </w:rPr>
      </w:pPr>
      <w:r w:rsidRPr="00A22900">
        <w:rPr>
          <w:rFonts w:ascii="Times New Roman" w:hAnsi="Times New Roman" w:cs="Times New Roman"/>
          <w:sz w:val="24"/>
          <w:szCs w:val="24"/>
        </w:rPr>
        <w:t xml:space="preserve">Non type 1 and 2 diabetes mellitus </w:t>
      </w:r>
      <w:r w:rsidRPr="00280742">
        <w:rPr>
          <w:rFonts w:ascii="Times New Roman" w:hAnsi="Times New Roman" w:cs="Times New Roman"/>
          <w:sz w:val="24"/>
          <w:szCs w:val="24"/>
        </w:rPr>
        <w:t>includes</w:t>
      </w:r>
    </w:p>
    <w:p w:rsidR="00227F96" w:rsidRPr="00280742" w:rsidRDefault="00227F96">
      <w:pPr>
        <w:rPr>
          <w:rFonts w:ascii="Times New Roman" w:hAnsi="Times New Roman" w:cs="Times New Roman"/>
          <w:sz w:val="24"/>
          <w:szCs w:val="24"/>
        </w:rPr>
      </w:pPr>
    </w:p>
    <w:p w:rsidR="00227F96" w:rsidRPr="00280742" w:rsidRDefault="00B629E3">
      <w:pPr>
        <w:numPr>
          <w:ilvl w:val="0"/>
          <w:numId w:val="1"/>
        </w:numPr>
        <w:rPr>
          <w:rFonts w:ascii="Times New Roman" w:hAnsi="Times New Roman" w:cs="Times New Roman"/>
          <w:sz w:val="24"/>
          <w:szCs w:val="24"/>
        </w:rPr>
      </w:pPr>
      <w:r w:rsidRPr="00280742">
        <w:rPr>
          <w:rFonts w:ascii="Times New Roman" w:hAnsi="Times New Roman" w:cs="Times New Roman"/>
          <w:sz w:val="24"/>
          <w:szCs w:val="24"/>
        </w:rPr>
        <w:t>Latent Autoimmune Diabetes in Adults (LADA)</w:t>
      </w:r>
    </w:p>
    <w:p w:rsidR="00227F96" w:rsidRPr="00280742" w:rsidRDefault="000875DA">
      <w:pPr>
        <w:numPr>
          <w:ilvl w:val="0"/>
          <w:numId w:val="1"/>
        </w:numPr>
        <w:rPr>
          <w:rFonts w:ascii="Times New Roman" w:hAnsi="Times New Roman" w:cs="Times New Roman"/>
          <w:sz w:val="24"/>
          <w:szCs w:val="24"/>
        </w:rPr>
      </w:pPr>
      <w:r>
        <w:rPr>
          <w:rFonts w:ascii="Times New Roman" w:hAnsi="Times New Roman" w:cs="Times New Roman"/>
          <w:sz w:val="24"/>
          <w:szCs w:val="24"/>
        </w:rPr>
        <w:t>Z</w:t>
      </w:r>
      <w:r w:rsidR="00B629E3" w:rsidRPr="00280742">
        <w:rPr>
          <w:rFonts w:ascii="Times New Roman" w:hAnsi="Times New Roman" w:cs="Times New Roman"/>
          <w:sz w:val="24"/>
          <w:szCs w:val="24"/>
        </w:rPr>
        <w:t>Maturity Onset Diabetes in Young (MODY)</w:t>
      </w:r>
    </w:p>
    <w:p w:rsidR="00227F96" w:rsidRPr="00280742" w:rsidRDefault="00B629E3">
      <w:pPr>
        <w:numPr>
          <w:ilvl w:val="0"/>
          <w:numId w:val="1"/>
        </w:numPr>
        <w:rPr>
          <w:rFonts w:ascii="Times New Roman" w:hAnsi="Times New Roman" w:cs="Times New Roman"/>
          <w:sz w:val="24"/>
          <w:szCs w:val="24"/>
        </w:rPr>
      </w:pPr>
      <w:r w:rsidRPr="00280742">
        <w:rPr>
          <w:rFonts w:ascii="Times New Roman" w:hAnsi="Times New Roman" w:cs="Times New Roman"/>
          <w:sz w:val="24"/>
          <w:szCs w:val="24"/>
        </w:rPr>
        <w:t>Neonatal Diabetes Mellitus</w:t>
      </w:r>
    </w:p>
    <w:p w:rsidR="00227F96" w:rsidRPr="00280742" w:rsidRDefault="00227F96">
      <w:pPr>
        <w:rPr>
          <w:rFonts w:ascii="Times New Roman" w:hAnsi="Times New Roman" w:cs="Times New Roman"/>
          <w:sz w:val="24"/>
          <w:szCs w:val="24"/>
        </w:rPr>
      </w:pPr>
    </w:p>
    <w:p w:rsidR="00227F96" w:rsidRPr="00280742" w:rsidRDefault="00B629E3" w:rsidP="00D244D0">
      <w:pPr>
        <w:spacing w:line="360" w:lineRule="auto"/>
        <w:outlineLvl w:val="0"/>
        <w:rPr>
          <w:rFonts w:ascii="Times New Roman" w:hAnsi="Times New Roman" w:cs="Times New Roman"/>
          <w:sz w:val="24"/>
          <w:szCs w:val="24"/>
        </w:rPr>
      </w:pPr>
      <w:r w:rsidRPr="00280742">
        <w:rPr>
          <w:rFonts w:ascii="Times New Roman" w:hAnsi="Times New Roman" w:cs="Times New Roman"/>
          <w:sz w:val="24"/>
          <w:szCs w:val="24"/>
        </w:rPr>
        <w:t>Latent Autoimmune Diabetes in Adults</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Introduction</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Definition: Clinical Characteristics </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Pathogenesis </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Genetics of Latent Autoimmune Diabetes in Adults </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Chronic Complications in LADA </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LADA in the Indian Population </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Screening for Latent Autoimmune Diabetes in Adults </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Management of Latent Autoimmune Diabetes in Adults </w:t>
      </w:r>
    </w:p>
    <w:p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Newer Potential Therapies for LADA</w:t>
      </w:r>
    </w:p>
    <w:p w:rsidR="00227F96" w:rsidRPr="00280742" w:rsidRDefault="00227F96">
      <w:pPr>
        <w:spacing w:line="360" w:lineRule="auto"/>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commentRangeStart w:id="3"/>
      <w:r w:rsidRPr="00280742">
        <w:rPr>
          <w:rFonts w:ascii="Times New Roman" w:eastAsia="SimSun" w:hAnsi="Times New Roman" w:cs="Times New Roman"/>
          <w:sz w:val="24"/>
          <w:szCs w:val="24"/>
        </w:rPr>
        <w:t>LADA</w:t>
      </w:r>
      <w:commentRangeEnd w:id="3"/>
      <w:r w:rsidR="00A54098">
        <w:rPr>
          <w:rStyle w:val="ab"/>
        </w:rPr>
        <w:commentReference w:id="3"/>
      </w:r>
      <w:r w:rsidRPr="00280742">
        <w:rPr>
          <w:rFonts w:ascii="Times New Roman" w:eastAsia="SimSun" w:hAnsi="Times New Roman" w:cs="Times New Roman"/>
          <w:sz w:val="24"/>
          <w:szCs w:val="24"/>
        </w:rPr>
        <w:t>, or Latent Autoimmune Diabetes in Adults, represents a unique form of diabetes that shares characteristics of both type 1 and type 2 diabetes. Sometimes referred to as Slowly Progressing Insulin Dependent Diabetes Mellitus (SPIDDM), 1½ diabetes, Double Diabetes, or Youth onset diabetes of maturity, LADA is recognized for its distinct clinical features and progression.</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To differentiate LADA from type 1 and type 2 diabetes, the Immunology of Diabetes Society has proposed three main criteria: </w:t>
      </w:r>
    </w:p>
    <w:p w:rsidR="00227F96" w:rsidRPr="00280742" w:rsidRDefault="00B629E3">
      <w:pPr>
        <w:numPr>
          <w:ilvl w:val="0"/>
          <w:numId w:val="2"/>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adult age of onset (&gt; 35 years of age), </w:t>
      </w:r>
    </w:p>
    <w:p w:rsidR="00227F96" w:rsidRPr="00280742" w:rsidRDefault="00B629E3">
      <w:pPr>
        <w:numPr>
          <w:ilvl w:val="0"/>
          <w:numId w:val="2"/>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presence of at least one circulating autoantibody (GAD, ICA, IAA or IA-2) and </w:t>
      </w:r>
    </w:p>
    <w:p w:rsidR="00227F96" w:rsidRPr="00280742" w:rsidRDefault="00B629E3">
      <w:pPr>
        <w:numPr>
          <w:ilvl w:val="0"/>
          <w:numId w:val="2"/>
        </w:numPr>
        <w:spacing w:line="360" w:lineRule="auto"/>
        <w:rPr>
          <w:rFonts w:ascii="Times New Roman" w:hAnsi="Times New Roman" w:cs="Times New Roman"/>
          <w:sz w:val="24"/>
          <w:szCs w:val="24"/>
        </w:rPr>
      </w:pPr>
      <w:r w:rsidRPr="00280742">
        <w:rPr>
          <w:rFonts w:ascii="Times New Roman" w:hAnsi="Times New Roman" w:cs="Times New Roman"/>
          <w:sz w:val="24"/>
          <w:szCs w:val="24"/>
        </w:rPr>
        <w:t>insulin independence for the first 6 months after diagnosis.</w:t>
      </w:r>
    </w:p>
    <w:p w:rsidR="00227F96" w:rsidRPr="00280742" w:rsidRDefault="00227F96">
      <w:pPr>
        <w:spacing w:line="360" w:lineRule="auto"/>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Comparsion of LADA with type 1 and type 2 Diabetes Mellitus</w:t>
      </w:r>
    </w:p>
    <w:p w:rsidR="00227F96" w:rsidRPr="00280742" w:rsidRDefault="00227F96">
      <w:pPr>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Diabetes mellitus, a heterogeneous group of metabolic disorders characterized by elevated blood sugar levels, encompasses various subtypes, including type 1, type 2, and Latent Autoimmune Diabetes in Adults (LADA). While type 1 and type 2 diabetes have been extensively studied and are well-understood, LADA presents a distinct clinical entity that bridges the characteristics of both traditional types.</w:t>
      </w:r>
    </w:p>
    <w:p w:rsidR="00227F96" w:rsidRPr="00280742" w:rsidRDefault="00227F96">
      <w:pPr>
        <w:spacing w:line="360" w:lineRule="auto"/>
        <w:rPr>
          <w:rFonts w:ascii="Times New Roman" w:eastAsia="SimSun" w:hAnsi="Times New Roman" w:cs="Times New Roman"/>
          <w:sz w:val="24"/>
          <w:szCs w:val="24"/>
        </w:rPr>
      </w:pPr>
    </w:p>
    <w:p w:rsidR="00227F96" w:rsidRPr="00280742" w:rsidRDefault="00B629E3">
      <w:pPr>
        <w:pStyle w:val="a6"/>
        <w:spacing w:line="360" w:lineRule="auto"/>
      </w:pPr>
      <w:r w:rsidRPr="00280742">
        <w:t>Clinical Presentation and Metabolic Control: Upon diagnosis, LADA patients often exhibit a notable ability to maintain adequate metabolic control through dietary modifications or oral hypoglycemic agents, a feature distinguishing them from individuals with type 1 diabetes. However, as LADA progresses, an increasing proportion of patients necessitate insulin therapy for sustained metabolic control, resembling the treatment trajectory of type 1 diabetes. This evolution underscores the progressive nature of LADA, reflecting the gradual decline in beta-cell function over time.</w:t>
      </w:r>
    </w:p>
    <w:p w:rsidR="00227F96" w:rsidRPr="00280742" w:rsidRDefault="00B629E3">
      <w:pPr>
        <w:pStyle w:val="a6"/>
        <w:spacing w:line="360" w:lineRule="auto"/>
      </w:pPr>
      <w:r w:rsidRPr="00280742">
        <w:t>Metabolic Profile and Beta-Cell Dysfunction: In comparison to type 2 diabetes, LADA patients demonstrate more severe dysfunction of pancreatic beta cells, suggesting a prominent autoimmune component in the pathogenesis of the disease. Despite this autoimmune involvement, LADA patients typically present with a lower prevalence of metabolic syndrome features, including obesity, hypertension, and dyslipidemia. Parameters such as lower BMI, favorable waist-hip ratios, and distinctive lipid profiles, characterized by higher HDL cholesterol and lower triglyceride concentrations, distinguish LADA patients from their type 2 counterparts of similar age and disease duration.</w:t>
      </w:r>
    </w:p>
    <w:p w:rsidR="00227F96" w:rsidRPr="00280742" w:rsidRDefault="00B629E3">
      <w:pPr>
        <w:pStyle w:val="a6"/>
        <w:spacing w:line="360" w:lineRule="auto"/>
      </w:pPr>
      <w:r w:rsidRPr="00280742">
        <w:t>Immunological Markers and Predictors of Insulin Dependency: The presence of specific autoantibodies, namely islet cell autoantibodies (ICA) and glutamic acid decarboxylase autoantibodies (GADab), plays a crucial role in diagnosing LADA and predicting its clinical course. While both markers are indicative of future insulin dependency, GADab emerge as superior predictors due to their greater stability and persistence over time. Unlike ICA, which tend to decline and disappear with disease progression, GADab remain reliable indicators, facilitating the early identification and management of LADA.</w:t>
      </w:r>
    </w:p>
    <w:p w:rsidR="00227F96" w:rsidRPr="00280742" w:rsidRDefault="00227F96">
      <w:pPr>
        <w:spacing w:line="360" w:lineRule="auto"/>
        <w:rPr>
          <w:rFonts w:ascii="Times New Roman" w:eastAsia="SimSu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2332355" cy="2284730"/>
            <wp:effectExtent l="0" t="0" r="10795" b="1270"/>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355" cy="2284730"/>
                    </a:xfrm>
                    <a:prstGeom prst="rect">
                      <a:avLst/>
                    </a:prstGeom>
                  </pic:spPr>
                </pic:pic>
              </a:graphicData>
            </a:graphic>
          </wp:inline>
        </w:drawing>
      </w:r>
      <w:r w:rsidRPr="00280742">
        <w:rPr>
          <w:rFonts w:ascii="Times New Roman" w:hAnsi="Times New Roman" w:cs="Times New Roman"/>
          <w:noProof/>
          <w:sz w:val="24"/>
          <w:szCs w:val="24"/>
          <w:lang w:eastAsia="en-US"/>
        </w:rPr>
        <w:drawing>
          <wp:inline distT="0" distB="0" distL="114300" distR="114300">
            <wp:extent cx="2752090" cy="2696210"/>
            <wp:effectExtent l="0" t="0" r="1016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2752090" cy="2696210"/>
                    </a:xfrm>
                    <a:prstGeom prst="rect">
                      <a:avLst/>
                    </a:prstGeom>
                  </pic:spPr>
                </pic:pic>
              </a:graphicData>
            </a:graphic>
          </wp:inline>
        </w:drawing>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jc w:val="center"/>
        <w:outlineLvl w:val="0"/>
        <w:rPr>
          <w:rFonts w:ascii="Times New Roman" w:hAnsi="Times New Roman" w:cs="Times New Roman"/>
          <w:sz w:val="24"/>
          <w:szCs w:val="24"/>
        </w:rPr>
      </w:pPr>
      <w:r w:rsidRPr="00280742">
        <w:rPr>
          <w:rFonts w:ascii="Times New Roman" w:hAnsi="Times New Roman" w:cs="Times New Roman"/>
          <w:sz w:val="24"/>
          <w:szCs w:val="24"/>
        </w:rPr>
        <w:t>FIG 1</w:t>
      </w:r>
      <w:r w:rsidRPr="00280742">
        <w:rPr>
          <w:rFonts w:ascii="Times New Roman" w:hAnsi="Times New Roman" w:cs="Times New Roman"/>
          <w:sz w:val="24"/>
          <w:szCs w:val="24"/>
          <w:vertAlign w:val="superscript"/>
        </w:rPr>
        <w:t>1</w:t>
      </w:r>
      <w:r w:rsidRPr="00280742">
        <w:rPr>
          <w:rFonts w:ascii="Times New Roman" w:hAnsi="Times New Roman" w:cs="Times New Roman"/>
          <w:sz w:val="24"/>
          <w:szCs w:val="24"/>
        </w:rPr>
        <w:t xml:space="preserve"> COMPARISON OF T1,T2 DIABETES MELLITUS AND LADA</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 xml:space="preserve">PATHOGENESIS </w:t>
      </w: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5469890" cy="3145790"/>
            <wp:effectExtent l="0" t="0" r="16510" b="16510"/>
            <wp:docPr id="3"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4"/>
                    <pic:cNvPicPr>
                      <a:picLocks noGrp="1" noChangeAspect="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69890" cy="3145790"/>
                    </a:xfrm>
                    <a:prstGeom prst="rect">
                      <a:avLst/>
                    </a:prstGeom>
                  </pic:spPr>
                </pic:pic>
              </a:graphicData>
            </a:graphic>
          </wp:inline>
        </w:drawing>
      </w:r>
    </w:p>
    <w:p w:rsidR="00227F96" w:rsidRPr="00280742" w:rsidRDefault="00B629E3" w:rsidP="00D244D0">
      <w:pPr>
        <w:jc w:val="center"/>
        <w:outlineLvl w:val="0"/>
        <w:rPr>
          <w:rFonts w:ascii="Times New Roman" w:hAnsi="Times New Roman" w:cs="Times New Roman"/>
          <w:sz w:val="24"/>
          <w:szCs w:val="24"/>
          <w:vertAlign w:val="superscript"/>
        </w:rPr>
      </w:pPr>
      <w:r w:rsidRPr="00280742">
        <w:rPr>
          <w:rFonts w:ascii="Times New Roman" w:hAnsi="Times New Roman" w:cs="Times New Roman"/>
          <w:sz w:val="24"/>
          <w:szCs w:val="24"/>
        </w:rPr>
        <w:t>FIG2 PATHOGENESIS OF LADA</w:t>
      </w:r>
      <w:r w:rsidRPr="00280742">
        <w:rPr>
          <w:rFonts w:ascii="Times New Roman" w:hAnsi="Times New Roman" w:cs="Times New Roman"/>
          <w:sz w:val="24"/>
          <w:szCs w:val="24"/>
          <w:vertAlign w:val="superscript"/>
        </w:rPr>
        <w:t>2</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5086350" cy="260032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2"/>
                    <a:stretch>
                      <a:fillRect/>
                    </a:stretch>
                  </pic:blipFill>
                  <pic:spPr>
                    <a:xfrm>
                      <a:off x="0" y="0"/>
                      <a:ext cx="5086350" cy="2600325"/>
                    </a:xfrm>
                    <a:prstGeom prst="rect">
                      <a:avLst/>
                    </a:prstGeom>
                    <a:noFill/>
                    <a:ln>
                      <a:noFill/>
                    </a:ln>
                  </pic:spPr>
                </pic:pic>
              </a:graphicData>
            </a:graphic>
          </wp:inline>
        </w:drawing>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 xml:space="preserve">        FIG3</w:t>
      </w:r>
      <w:r w:rsidRPr="00280742">
        <w:rPr>
          <w:rFonts w:ascii="Times New Roman" w:hAnsi="Times New Roman" w:cs="Times New Roman"/>
          <w:sz w:val="24"/>
          <w:szCs w:val="24"/>
          <w:vertAlign w:val="superscript"/>
        </w:rPr>
        <w:t>3</w:t>
      </w:r>
      <w:r w:rsidRPr="00280742">
        <w:rPr>
          <w:rFonts w:ascii="Times New Roman" w:hAnsi="Times New Roman" w:cs="Times New Roman"/>
          <w:sz w:val="24"/>
          <w:szCs w:val="24"/>
        </w:rPr>
        <w:t xml:space="preserve"> COMPARISION OF T1DM,LADA AND T2DM</w:t>
      </w:r>
    </w:p>
    <w:p w:rsidR="00227F96" w:rsidRPr="00280742" w:rsidRDefault="002C6D33">
      <w:pPr>
        <w:rPr>
          <w:rFonts w:ascii="Times New Roman" w:hAnsi="Times New Roman" w:cs="Times New Roman"/>
          <w:sz w:val="24"/>
          <w:szCs w:val="24"/>
        </w:rPr>
      </w:pPr>
      <w:r>
        <w:rPr>
          <w:rFonts w:ascii="Times New Roman" w:hAnsi="Times New Roman" w:cs="Times New Roman"/>
          <w:noProof/>
          <w:sz w:val="24"/>
          <w:szCs w:val="24"/>
        </w:rPr>
        <w:pict>
          <v:rect id="Title 1" o:spid="_x0000_s2050" style="position:absolute;margin-left:-83.5pt;margin-top:13.5pt;width:579.2pt;height:46.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" filled="f" stroked="f">
            <o:lock v:ext="edit" grouping="t"/>
            <v:textbox>
              <w:txbxContent>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CLINICAL FEATURES</w:t>
                  </w:r>
                </w:p>
                <w:p w:rsidR="00227F96" w:rsidRDefault="00227F96">
                  <w:pPr>
                    <w:pStyle w:val="a6"/>
                    <w:spacing w:line="216" w:lineRule="auto"/>
                    <w:rPr>
                      <w:rFonts w:eastAsiaTheme="majorEastAsia"/>
                      <w:caps/>
                      <w:kern w:val="24"/>
                      <w:sz w:val="36"/>
                      <w:szCs w:val="36"/>
                    </w:rPr>
                  </w:pPr>
                </w:p>
                <w:p w:rsidR="00227F96" w:rsidRDefault="00227F96">
                  <w:pPr>
                    <w:pStyle w:val="a6"/>
                    <w:spacing w:line="216" w:lineRule="auto"/>
                    <w:rPr>
                      <w:rFonts w:eastAsiaTheme="majorEastAsia"/>
                      <w:caps/>
                      <w:kern w:val="24"/>
                      <w:sz w:val="36"/>
                      <w:szCs w:val="36"/>
                    </w:rPr>
                  </w:pPr>
                </w:p>
                <w:p w:rsidR="00227F96" w:rsidRDefault="00227F96">
                  <w:pPr>
                    <w:pStyle w:val="a6"/>
                    <w:spacing w:line="216" w:lineRule="auto"/>
                    <w:rPr>
                      <w:rFonts w:eastAsiaTheme="majorEastAsia"/>
                      <w:caps/>
                      <w:kern w:val="24"/>
                      <w:sz w:val="36"/>
                      <w:szCs w:val="36"/>
                    </w:rPr>
                  </w:pPr>
                </w:p>
                <w:p w:rsidR="00227F96" w:rsidRDefault="00227F96">
                  <w:pPr>
                    <w:pStyle w:val="a6"/>
                    <w:spacing w:line="216" w:lineRule="auto"/>
                    <w:rPr>
                      <w:rFonts w:eastAsiaTheme="majorEastAsia"/>
                      <w:caps/>
                      <w:kern w:val="24"/>
                      <w:sz w:val="36"/>
                      <w:szCs w:val="36"/>
                    </w:rPr>
                  </w:pPr>
                </w:p>
                <w:p w:rsidR="00227F96" w:rsidRDefault="00227F96">
                  <w:pPr>
                    <w:pStyle w:val="a6"/>
                    <w:spacing w:line="216" w:lineRule="auto"/>
                    <w:rPr>
                      <w:rFonts w:eastAsiaTheme="majorEastAsia"/>
                      <w:caps/>
                      <w:kern w:val="24"/>
                      <w:sz w:val="36"/>
                      <w:szCs w:val="36"/>
                    </w:rPr>
                  </w:pP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Types</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Clinical features</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LADA</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LADA I</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LADA 2</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 Age of onset &gt; 35 years</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 Non-insulin requiring for at least first 6 months after onset but often</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requiring insulin later</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 Higher titers of GAD</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 Lower C-peptide, lower BMI, ketosis prone</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 Lower titers of GAD</w:t>
                  </w:r>
                </w:p>
                <w:p w:rsidR="00227F96" w:rsidRDefault="00B629E3">
                  <w:pPr>
                    <w:pStyle w:val="a6"/>
                    <w:spacing w:line="216" w:lineRule="auto"/>
                    <w:rPr>
                      <w:rFonts w:eastAsiaTheme="majorEastAsia"/>
                      <w:caps/>
                      <w:kern w:val="24"/>
                      <w:sz w:val="36"/>
                      <w:szCs w:val="36"/>
                    </w:rPr>
                  </w:pPr>
                  <w:r>
                    <w:rPr>
                      <w:rFonts w:eastAsiaTheme="majorEastAsia"/>
                      <w:caps/>
                      <w:kern w:val="24"/>
                      <w:sz w:val="36"/>
                      <w:szCs w:val="36"/>
                    </w:rPr>
                    <w:t>• Less ketosis, dyslipidemia prone</w:t>
                  </w:r>
                </w:p>
              </w:txbxContent>
            </v:textbox>
          </v:rect>
        </w:pic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commentRangeStart w:id="4"/>
      <w:r w:rsidRPr="00280742">
        <w:rPr>
          <w:rFonts w:ascii="Times New Roman" w:hAnsi="Times New Roman" w:cs="Times New Roman"/>
          <w:sz w:val="24"/>
          <w:szCs w:val="24"/>
        </w:rPr>
        <w:t>LADA</w:t>
      </w:r>
      <w:commentRangeEnd w:id="4"/>
      <w:r w:rsidR="00A54098">
        <w:rPr>
          <w:rStyle w:val="ab"/>
        </w:rPr>
        <w:commentReference w:id="4"/>
      </w:r>
      <w:r w:rsidRPr="00280742">
        <w:rPr>
          <w:rFonts w:ascii="Times New Roman" w:hAnsi="Times New Roman" w:cs="Times New Roman"/>
          <w:sz w:val="24"/>
          <w:szCs w:val="24"/>
        </w:rPr>
        <w:t xml:space="preserve"> has age of onset &gt; 35 years and has non-insulin requirement for at least first 6 months after onset but often requiring insulin later. LADA I has higher titers of GAD,lower C-peptide, lower BMI and is ketosis prone. LADA 2 has lower titers of GAD,less ketosis and is dyslipidemia prone.</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color w:val="000000"/>
          <w:sz w:val="24"/>
          <w:szCs w:val="24"/>
        </w:rPr>
      </w:pPr>
      <w:r w:rsidRPr="00280742">
        <w:rPr>
          <w:rFonts w:ascii="Times New Roman" w:hAnsi="Times New Roman" w:cs="Times New Roman"/>
          <w:color w:val="000000"/>
          <w:sz w:val="24"/>
          <w:szCs w:val="24"/>
        </w:rPr>
        <w:t>Genetic markers</w:t>
      </w: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color w:val="000000"/>
          <w:sz w:val="24"/>
          <w:szCs w:val="24"/>
        </w:rPr>
      </w:pPr>
      <w:r w:rsidRPr="00280742">
        <w:rPr>
          <w:rFonts w:ascii="Times New Roman" w:hAnsi="Times New Roman" w:cs="Times New Roman"/>
          <w:color w:val="000000"/>
          <w:sz w:val="24"/>
          <w:szCs w:val="24"/>
        </w:rPr>
        <w:t xml:space="preserve">DQB-0302(DR4) gene predisposes to LADA. MICA 5.1 predisposes to LADA while MICA 5 predisposes to type 1 diabetes(childhood/young onset).GAD 65-CAb if positive then person have high risk for progession towards insulin dependency (type 1 diabetes mellitus) while GAD65-MAb positive then person have more clinical and metaboliiccharacterstics similar as in type 2 diabetes mellitus. </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CHRONIC COMPLICATIONS IN LADA</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As an intermediate form of diabetes bridging characteristics of both type 1 and type 2 diabetes, Latent Autoimmune Diabetes in Adults (LADA) presents a unique perspective on the development and progression of chronic complications associated with the disease.</w:t>
      </w:r>
    </w:p>
    <w:p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lastRenderedPageBreak/>
        <w:t>Retinopathy: Studies have indicated a higher prevalence of retinopathy in LADA subjects compared to individuals with GAD-negative type 2 diabetes.</w:t>
      </w:r>
    </w:p>
    <w:p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Neuropathy: In the early stages of the disease, LADA subjects exhibit lower rates of neuropathy compared to those with type 2 diabetes, resembling the clinical profile observed in classical type 1 diabetes. This delayed onset of neuropathy in LADA underscores the complex interplay of autoimmune and metabolic factors in neuropathic complications</w:t>
      </w:r>
    </w:p>
    <w:p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Coronary Heart Disease and Cardiovascular Mortality: Contrary to the higher prevalence of metabolic syndrome features in type 2 diabetes, LADA subjects demonstrate a lower prevalence of coronary heart disease and cardiovascular mortality. This phenomenon can be attributed to the unique metabolic profile of LADA, characterized by lower BMI, favorable lipid profiles, and reduced prevalence of metabolic syndrome features.</w:t>
      </w:r>
    </w:p>
    <w:p w:rsidR="00227F96" w:rsidRPr="00280742" w:rsidRDefault="00227F96">
      <w:pPr>
        <w:rPr>
          <w:rFonts w:ascii="Times New Roman" w:eastAsia="SimSu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commentRangeStart w:id="5"/>
      <w:r w:rsidRPr="00280742">
        <w:rPr>
          <w:rFonts w:ascii="Times New Roman" w:hAnsi="Times New Roman" w:cs="Times New Roman"/>
          <w:sz w:val="24"/>
          <w:szCs w:val="24"/>
        </w:rPr>
        <w:t>LADA</w:t>
      </w:r>
      <w:commentRangeEnd w:id="5"/>
      <w:r w:rsidR="00A54098">
        <w:rPr>
          <w:rStyle w:val="ab"/>
        </w:rPr>
        <w:commentReference w:id="5"/>
      </w:r>
      <w:r w:rsidRPr="00280742">
        <w:rPr>
          <w:rFonts w:ascii="Times New Roman" w:hAnsi="Times New Roman" w:cs="Times New Roman"/>
          <w:sz w:val="24"/>
          <w:szCs w:val="24"/>
        </w:rPr>
        <w:t xml:space="preserve"> IN THE INDIAN POPULATION</w:t>
      </w:r>
    </w:p>
    <w:p w:rsidR="00227F96" w:rsidRPr="00280742" w:rsidRDefault="00227F96">
      <w:pPr>
        <w:rPr>
          <w:rFonts w:ascii="Times New Roman" w:hAnsi="Times New Roman" w:cs="Times New Roman"/>
          <w:sz w:val="24"/>
          <w:szCs w:val="24"/>
        </w:rPr>
      </w:pPr>
    </w:p>
    <w:p w:rsidR="00227F96" w:rsidRPr="00280742" w:rsidRDefault="00B629E3">
      <w:pPr>
        <w:pStyle w:val="a6"/>
        <w:spacing w:line="360" w:lineRule="auto"/>
      </w:pPr>
      <w:r w:rsidRPr="00280742">
        <w:t>In a  study by Kanungo et al. conducted in Eastern India, an extensive analysis of 210 patients clinically diagnosed with type 2 diabetes yielded valuable insights into the prevalence and significance of autoantibodies within the Indian population. Contrary to prevailing expectations, the study found that the frequency of glutamic acid decarboxylase 65 (GAD65) autoantibodies did not exhibit a statistically significant difference between patients and controls, with only 7% of individuals with type 2 diabetes testing positive for GAD65 compared to 2% in the control group. This unexpected finding challenges conventional assumptions regarding the role of GAD65 autoantibodies in the pathogenesis of type 2 diabetes within the Indian context.</w:t>
      </w:r>
    </w:p>
    <w:p w:rsidR="00227F96" w:rsidRPr="00280742" w:rsidRDefault="00B629E3">
      <w:pPr>
        <w:pStyle w:val="a6"/>
        <w:spacing w:line="360" w:lineRule="auto"/>
      </w:pPr>
      <w:r w:rsidRPr="00280742">
        <w:t>Interestingly, in contrast to observations in Caucasian populations, the study revealed a striking pattern in the prevalence of insulinoma-associated-2 autoantibodies (IA-2) among younger Eastern Indian patients diagnosed with type 2 diabetes. IA-2 emerged as the predominant autoantibody, detected in a notable 36% of cases, highlighting the ethnic and geographical variability in autoimmune diabetes susceptibility within India.</w:t>
      </w:r>
    </w:p>
    <w:p w:rsidR="00227F96" w:rsidRPr="00280742" w:rsidRDefault="00B629E3">
      <w:pPr>
        <w:pStyle w:val="a6"/>
        <w:spacing w:line="360" w:lineRule="auto"/>
      </w:pPr>
      <w:r w:rsidRPr="00280742">
        <w:t xml:space="preserve">Moreover, the study shed light on the association of islet cell antibody (ICA-12) with non-DR3/non-DR4 patients diagnosed with Latent Autoimmune Diabetes in Adults </w:t>
      </w:r>
      <w:r w:rsidRPr="00280742">
        <w:lastRenderedPageBreak/>
        <w:t>(LADA) in Northern India. This finding underscores the immunogenetic heterogeneity of LADA and emphasizes the need for tailored diagnostic approaches reflective of regional and ethnic differences.</w:t>
      </w:r>
    </w:p>
    <w:p w:rsidR="00227F96" w:rsidRPr="00280742" w:rsidRDefault="00B629E3">
      <w:pPr>
        <w:pStyle w:val="a6"/>
        <w:spacing w:line="360" w:lineRule="auto"/>
      </w:pPr>
      <w:r w:rsidRPr="00280742">
        <w:t>A separate investigation focusing on lean diabetics from Southern India revealed a higher prevalence of GAD autoantibodies, indicative of autoimmune involvement, and a more severe diabetic phenotype distinct from classical type 1 diabetes categorized as LADA. However, it is noteworthy that many lean diabetics in Eastern India tested negative for GAD autoantibodies while maintaining good β-cell function, suggesting the presence of phenotype variants of type 2 diabetes within this population subgroup.</w:t>
      </w:r>
    </w:p>
    <w:p w:rsidR="00227F96" w:rsidRPr="00280742" w:rsidRDefault="00B629E3">
      <w:pPr>
        <w:pStyle w:val="a6"/>
        <w:spacing w:line="360" w:lineRule="auto"/>
      </w:pPr>
      <w:r w:rsidRPr="00280742">
        <w:t>Overall, these findings underscore the complex and heterogeneous nature of LADA in India, representing a substantial proportion, potentially up to 10%, of adults with diabetes. Understanding the unique immunogenetic and clinical characteristics of LADA in diverse populations is crucial for accurate diagnosis and personalized treatment strategies, ultimately contributing to improved outcomes in diabetes management within the Indian context.</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SCREENING FOR LATENT AUTOIMMUNE DIABETES IN ADULTS</w:t>
      </w:r>
    </w:p>
    <w:p w:rsidR="00227F96" w:rsidRPr="00280742" w:rsidRDefault="00227F96">
      <w:pPr>
        <w:rPr>
          <w:rFonts w:ascii="Times New Roman" w:hAnsi="Times New Roman" w:cs="Times New Roman"/>
          <w:sz w:val="24"/>
          <w:szCs w:val="24"/>
        </w:rPr>
      </w:pPr>
    </w:p>
    <w:p w:rsidR="00227F96" w:rsidRPr="00280742" w:rsidRDefault="00B629E3">
      <w:pPr>
        <w:pStyle w:val="a6"/>
        <w:spacing w:line="360" w:lineRule="auto"/>
      </w:pPr>
      <w:r w:rsidRPr="00280742">
        <w:t>In countries like India, where healthcare resources may be limited, conducting comprehensive testing for glutamic acid decarboxylase autoantibodies (GADab) in all adults diagnosed with type 2 diabetes poses significant challenges. Despite the acknowledged importance of GADab measurement in identifying individuals with Latent Autoimmune Diabetes in Adults (LADA) and predicting future insulin requirements, practical constraints often necessitate reliance on clinical judgment for treatment decisions.</w:t>
      </w:r>
    </w:p>
    <w:p w:rsidR="00227F96" w:rsidRPr="00280742" w:rsidRDefault="00B629E3">
      <w:pPr>
        <w:pStyle w:val="a6"/>
        <w:spacing w:line="360" w:lineRule="auto"/>
      </w:pPr>
      <w:r w:rsidRPr="00280742">
        <w:t xml:space="preserve">In this context, the decision to initiate insulin therapy is predominantly guided by clinical considerations rather than GADab status. Clinicians must carefully assess factors such as glycemic control, disease progression, comorbidities, and individual patient characteristics to determine the most appropriate treatment approach. While GADab testing may not be routinely feasible, optimizing glycemic control and </w:t>
      </w:r>
      <w:r w:rsidRPr="00280742">
        <w:lastRenderedPageBreak/>
        <w:t>managing cardiovascular risk factors remain paramount for preventing the progression of microvascular and macrovascular complications associated with diabetes.</w:t>
      </w:r>
    </w:p>
    <w:p w:rsidR="00227F96" w:rsidRPr="00280742" w:rsidRDefault="00B629E3">
      <w:pPr>
        <w:pStyle w:val="a6"/>
        <w:spacing w:line="360" w:lineRule="auto"/>
      </w:pPr>
      <w:r w:rsidRPr="00280742">
        <w:t>Effective management of diabetes complications, akin to strategies employed in both type 1 and type 2 diabetes, hinges on diligent glycemic control and the mitigation of cardiovascular risk factors. Regular monitoring of blood glucose levels, implementation of lifestyle modifications, appropriate pharmacotherapy, and patient education are essential components of comprehensive diabetes care, aimed at reducing the burden of complications and improving long-term outcomes.</w:t>
      </w:r>
    </w:p>
    <w:p w:rsidR="00227F96" w:rsidRPr="00280742" w:rsidRDefault="00B629E3">
      <w:pPr>
        <w:pStyle w:val="a6"/>
        <w:spacing w:line="360" w:lineRule="auto"/>
      </w:pPr>
      <w:r w:rsidRPr="00280742">
        <w:t>Despite resource constraints, efforts to enhance diabetes care delivery in India and similar settings involve leveraging available infrastructure, adopting evidence-based guidelines, and fostering interdisciplinary collaboration among healthcare providers. Additionally, advocacy for increased access to diagnostic tools and therapeutic interventions, alongside initiatives aimed at raising awareness and promoting early detection of diabetes and its complications, are critical for improving patient outcomes and optimizing healthcare resource utilization.</w:t>
      </w:r>
    </w:p>
    <w:p w:rsidR="00227F96" w:rsidRPr="00280742" w:rsidRDefault="00B629E3">
      <w:pPr>
        <w:pStyle w:val="a6"/>
        <w:spacing w:line="360" w:lineRule="auto"/>
      </w:pPr>
      <w:r w:rsidRPr="00280742">
        <w:t>In conclusion, while challenges related to GADab testing may exist in resource-limited settings, prioritizing glycemic control and cardiovascular risk management remains pivotal in preventing the progression of diabetes complications. By employing a patient-centered approach and maximizing available resources, healthcare providers can optimize diabetes care delivery and enhance health outcomes for individuals with type 2 diabetes in India and similar contexts</w:t>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MANAGEMENT OF LATENT AUTOIMMUNE DIABETES IN ADULTS</w:t>
      </w:r>
    </w:p>
    <w:p w:rsidR="00227F96" w:rsidRPr="00280742" w:rsidRDefault="00227F96">
      <w:pPr>
        <w:rPr>
          <w:rFonts w:ascii="Times New Roman" w:hAnsi="Times New Roman" w:cs="Times New Roman"/>
          <w:sz w:val="24"/>
          <w:szCs w:val="24"/>
        </w:rPr>
      </w:pPr>
    </w:p>
    <w:p w:rsidR="00227F96" w:rsidRPr="00280742" w:rsidRDefault="00B629E3">
      <w:pPr>
        <w:pStyle w:val="a6"/>
        <w:spacing w:line="360" w:lineRule="auto"/>
      </w:pPr>
      <w:r w:rsidRPr="00280742">
        <w:t>In the absence of established treatment guidelines specifically tailored for Latent Autoimmune Diabetes in Adults (LADA), the standard approach often begins with a trial of oral hypoglycemic agents, such as sulfonylureas, metformin, and thiazolidinediones, followed by insulin therapy if necessary. However, the optimal timing and sequence of treatment modalities remain subject to debate and clinical judgment.</w:t>
      </w:r>
    </w:p>
    <w:p w:rsidR="00227F96" w:rsidRPr="00280742" w:rsidRDefault="00B629E3">
      <w:pPr>
        <w:pStyle w:val="a6"/>
        <w:spacing w:line="360" w:lineRule="auto"/>
      </w:pPr>
      <w:r w:rsidRPr="00280742">
        <w:lastRenderedPageBreak/>
        <w:t>One rationale for considering early insulin therapy in LADA is the potential benefit of providing beta-cell rest, thus preventing beta-cell exhaustion that may result from the prolonged use of sulfonylureas. By sparing the beta cells from excessive stimulation, insulin therapy may help preserve their function and prolong endogenous insulin secretion. This approach aligns with the concept of preserving beta-cell function and delaying the need for exogenous insulin therapy in the long term.</w:t>
      </w:r>
    </w:p>
    <w:p w:rsidR="00227F96" w:rsidRPr="00280742" w:rsidRDefault="00B629E3">
      <w:pPr>
        <w:pStyle w:val="a6"/>
        <w:spacing w:line="360" w:lineRule="auto"/>
      </w:pPr>
      <w:r w:rsidRPr="00280742">
        <w:t>While some evidence suggests potential benefits of early insulin initiation in LADA, the available data are not entirely conclusive. Further research is needed to elucidate the optimal timing, dosing, and duration of insulin therapy in LADA, as well as its impact on preserving beta-cell function and preventing diabetes-related complications.</w:t>
      </w:r>
    </w:p>
    <w:p w:rsidR="00227F96" w:rsidRPr="00280742" w:rsidRDefault="00B629E3">
      <w:pPr>
        <w:pStyle w:val="a6"/>
        <w:spacing w:line="360" w:lineRule="auto"/>
      </w:pPr>
      <w:r w:rsidRPr="00280742">
        <w:t>Ultimately, treatment decisions in LADA should be individualized based on factors such as disease severity, beta-cell function, glycemic control, patient preferences, and comorbidities. Clinicians should weigh the potential benefits and risks of various treatment options and engage in shared decision-making with patients to tailor therapy to their specific needs and goals. Close monitoring and regular reassessment are essential to adjust treatment strategies as needed and optimize long-term outcomes in LADA management.</w:t>
      </w:r>
    </w:p>
    <w:p w:rsidR="00227F96" w:rsidRPr="00280742" w:rsidRDefault="00B629E3">
      <w:pPr>
        <w:pStyle w:val="a6"/>
        <w:spacing w:line="360" w:lineRule="auto"/>
      </w:pPr>
      <w:commentRangeStart w:id="6"/>
      <w:r w:rsidRPr="00280742">
        <w:t>Treatment</w:t>
      </w:r>
      <w:commentRangeEnd w:id="6"/>
      <w:r w:rsidR="00156F89">
        <w:rPr>
          <w:rStyle w:val="ab"/>
          <w:rFonts w:asciiTheme="minorHAnsi" w:eastAsiaTheme="minorEastAsia" w:hAnsiTheme="minorHAnsi" w:cstheme="minorBidi"/>
        </w:rPr>
        <w:commentReference w:id="6"/>
      </w:r>
      <w:r w:rsidRPr="00280742">
        <w:br/>
      </w:r>
      <w:r w:rsidRPr="00280742">
        <w:br/>
        <w:t xml:space="preserve"> Obese patients benefit from calorie restriction,sulfonylureas,early insulin therapy is recommended,insulin sensitizers are beneficial in treating metabollicsyndrome,incretin based therapy is not studuied yet while immune mdoulation via Dia pep 277 safety and tolereability have been proved. GAD65 (Diamyd)-Safety reported</w:t>
      </w:r>
      <w:r w:rsidRPr="00280742">
        <w:br/>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NEWER POTENTIAL THERAPIES FOR LADA</w:t>
      </w:r>
    </w:p>
    <w:p w:rsidR="00227F96" w:rsidRPr="00280742" w:rsidRDefault="00227F96">
      <w:pPr>
        <w:rPr>
          <w:rFonts w:ascii="Times New Roman" w:hAnsi="Times New Roman" w:cs="Times New Roman"/>
          <w:sz w:val="24"/>
          <w:szCs w:val="24"/>
        </w:rPr>
      </w:pPr>
    </w:p>
    <w:p w:rsidR="00227F96" w:rsidRPr="00280742" w:rsidRDefault="00B629E3">
      <w:pPr>
        <w:pStyle w:val="a6"/>
        <w:spacing w:line="360" w:lineRule="auto"/>
      </w:pPr>
      <w:r w:rsidRPr="00280742">
        <w:t xml:space="preserve">The Diabetes Prevention Trial 1 (DPT-1) demonstrated the potential for preventing the progression of beta-cell exhaustion and subsequent insulin dependency, which could be beneficially applied to individuals with Latent Autoimmune Diabetes in </w:t>
      </w:r>
      <w:r w:rsidRPr="00280742">
        <w:lastRenderedPageBreak/>
        <w:t>Adults (LADA). A recent multicenter study in Japanese subjects compared the effects of insulin versus sulfonylurea treatment in GADab-positive patients. The study found that among those with a high GADab titer, a significantly higher proportion in the sulfonylurea group became insulin dependent over four years compared to the insulin-treated group. This suggests that early, low-dose insulin therapy may effectively prevent beta-cell failure in LADA subjects.</w:t>
      </w:r>
    </w:p>
    <w:p w:rsidR="00227F96" w:rsidRPr="00280742" w:rsidRDefault="00B629E3">
      <w:pPr>
        <w:pStyle w:val="a6"/>
        <w:spacing w:line="360" w:lineRule="auto"/>
      </w:pPr>
      <w:r w:rsidRPr="00280742">
        <w:t>However, not all studies have demonstrated clear benefits of early insulin treatment in preserving beta-cell function in LADA. A prospective, three-year intervention study in LADA patients in Sweden did not find a significant beneficial effect of early insulin treatment on preserving beta-cell function. Nevertheless, the study did observe better preservation of HbA1c levels after 36 months in the insulin-treated group compared to the control group.</w:t>
      </w:r>
    </w:p>
    <w:p w:rsidR="00227F96" w:rsidRPr="00280742" w:rsidRDefault="00B629E3">
      <w:pPr>
        <w:pStyle w:val="a6"/>
        <w:spacing w:line="360" w:lineRule="auto"/>
      </w:pPr>
      <w:r w:rsidRPr="00280742">
        <w:t>Innovative approaches to halt the progression of beta-cell destruction in LADA are also being explored. One such approach involves the use of a peptide called Diapep 277, derived from heat shock protein 60 (Hsp60), to interrupt the beta-cell destruction process. Diapep 277 works through antigen-specific suppression, aiming to halt the autoimmune attack on beta cells.</w:t>
      </w:r>
    </w:p>
    <w:p w:rsidR="00227F96" w:rsidRPr="00280742" w:rsidRDefault="00B629E3">
      <w:pPr>
        <w:pStyle w:val="a6"/>
        <w:spacing w:line="360" w:lineRule="auto"/>
      </w:pPr>
      <w:r w:rsidRPr="00280742">
        <w:t>Additionally, GAD65 vaccination, such as the Diamyd vaccine, has been investigated as a means to slow down the progression of beta-cell destruction in individuals with LADA. By targeting specific autoantigens involved in the autoimmune response, GAD65 vaccination aims to preserve beta-cell function and delay the onset of insulin dependency.</w:t>
      </w:r>
    </w:p>
    <w:p w:rsidR="00227F96" w:rsidRPr="00280742" w:rsidRDefault="00B629E3">
      <w:pPr>
        <w:pStyle w:val="a6"/>
        <w:spacing w:line="360" w:lineRule="auto"/>
      </w:pPr>
      <w:r w:rsidRPr="00280742">
        <w:t>Emerging therapies targeting inflammatory cytokines, such as tumor necrosis factor-alpha (Etanercept) and interleukin-1 beta, have also shown promise in modulating the inflammatory processes implicated in LADA pathogenesis. By interfering with these cytokines, these newer therapies aim to attenuate the autoimmune response and preserve beta-cell function in LADA patients.</w:t>
      </w:r>
    </w:p>
    <w:p w:rsidR="00227F96" w:rsidRPr="00280742" w:rsidRDefault="00B629E3">
      <w:pPr>
        <w:pStyle w:val="a6"/>
        <w:spacing w:line="360" w:lineRule="auto"/>
      </w:pPr>
      <w:r w:rsidRPr="00280742">
        <w:t xml:space="preserve">Overall, while the management of LADA remains challenging due to its heterogeneous nature, ongoing research into innovative treatment approaches offers </w:t>
      </w:r>
      <w:r w:rsidRPr="00280742">
        <w:lastRenderedPageBreak/>
        <w:t>hope for improved outcomes and better preservation of beta-cell function in individuals with this form of diabetes.</w:t>
      </w:r>
    </w:p>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Maturity onset diabetes of the young (MODY) syndromes </w:t>
      </w:r>
      <w:r w:rsidRPr="00280742">
        <w:rPr>
          <w:rFonts w:ascii="Times New Roman" w:hAnsi="Times New Roman" w:cs="Times New Roman"/>
          <w:sz w:val="24"/>
          <w:szCs w:val="24"/>
        </w:rPr>
        <w:br/>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 chromosome 20, HNF-4 α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2 chromosome 7, glucokinase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3 chromosome 12, HNF-1α, TCF-1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MODY 4 chromosome 13, IPF-1</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5 chromosome 17, HNF-1 β, TCF-2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6 chromosome 2q32, neuro-D1/beta-2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MODY 7 chromosome 2q25, Kruppel like factor (KFL)11</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8 chromosome 9q34, CEL (carboxyl ester lipase)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9 chromosome 7q32, Pax 4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10 chromosome 11p15.5, insulin gene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11 chromosome 8p23, BLK gene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12 chromosome 11p15, KCNJ 11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13 chromosome 11p15, ABCC8 </w:t>
      </w:r>
    </w:p>
    <w:p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MODY X mutation unidentified</w:t>
      </w:r>
    </w:p>
    <w:p w:rsidR="00227F96" w:rsidRPr="00280742" w:rsidRDefault="00227F96">
      <w:pPr>
        <w:rPr>
          <w:rFonts w:ascii="Times New Roman" w:hAnsi="Times New Roman" w:cs="Times New Roman"/>
          <w:sz w:val="24"/>
          <w:szCs w:val="24"/>
        </w:rPr>
      </w:pPr>
    </w:p>
    <w:p w:rsidR="00227F96" w:rsidRPr="00280742" w:rsidRDefault="00B629E3">
      <w:pPr>
        <w:pStyle w:val="a6"/>
        <w:spacing w:line="360" w:lineRule="auto"/>
      </w:pPr>
      <w:r w:rsidRPr="00280742">
        <w:t>Maturity-Onset Diabetes of the Young (MODY), a monogenic form of diabetes resulting from mutations in islet cell transcription factors or glucokinase genes. Here's a breakdown of the key features and subtypes:</w:t>
      </w:r>
    </w:p>
    <w:p w:rsidR="00227F96" w:rsidRPr="00280742" w:rsidRDefault="00B629E3">
      <w:pPr>
        <w:pStyle w:val="a6"/>
        <w:spacing w:line="360" w:lineRule="auto"/>
      </w:pPr>
      <w:r w:rsidRPr="00280742">
        <w:t>Characteristics:</w:t>
      </w:r>
    </w:p>
    <w:p w:rsidR="00227F96" w:rsidRPr="00280742" w:rsidRDefault="00B629E3">
      <w:pPr>
        <w:spacing w:beforeAutospacing="1" w:afterAutospacing="1" w:line="360" w:lineRule="auto"/>
        <w:ind w:left="360"/>
        <w:rPr>
          <w:rFonts w:ascii="Times New Roman" w:hAnsi="Times New Roman" w:cs="Times New Roman"/>
          <w:sz w:val="24"/>
          <w:szCs w:val="24"/>
        </w:rPr>
      </w:pPr>
      <w:r w:rsidRPr="00280742">
        <w:rPr>
          <w:rFonts w:ascii="Times New Roman" w:hAnsi="Times New Roman" w:cs="Times New Roman"/>
          <w:sz w:val="24"/>
          <w:szCs w:val="24"/>
        </w:rPr>
        <w:t>MODY is characterized by abnormalities in insulin secretion due to genetic mutations affecting beta-cell function. MODY is inherited in an autosomal dominant pattern, meaning that an affected individual has a 50% chance of passing the mutation on to each offspring. Glucose intolerance or diabetes is typically observed in at least three successive generations, with only one parent being affected.  The onset of diabetes should occur before the age of 25 years in at least one, ideally two, family members. MODY typically presents with early-onset diabetes, often in the third decade of life. Individuals with MODY typically lack features of insulin resistance, such as acanthosis nigricans, and often have a normal body mass index (BMI). MODY patients are negative for diabetes-related autoantibodies, distinguishing them from autoimmune forms of diabetes such as type 1 diabetes.</w:t>
      </w:r>
    </w:p>
    <w:p w:rsidR="00227F96" w:rsidRPr="00280742" w:rsidRDefault="00B629E3">
      <w:pPr>
        <w:pStyle w:val="a6"/>
        <w:spacing w:line="360" w:lineRule="auto"/>
      </w:pPr>
      <w:r w:rsidRPr="00280742">
        <w:t>Subtypes:</w:t>
      </w:r>
    </w:p>
    <w:p w:rsidR="00227F96" w:rsidRPr="00280742" w:rsidRDefault="00B629E3">
      <w:pPr>
        <w:spacing w:beforeAutospacing="1" w:afterAutospacing="1"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Glucokinase gene defect: This subtype is characterized by a defect in the glucokinase gene, which leads to a defective glucose sensor in pancreatic beta cells. Glucokinase plays a crucial role in glucose sensing and insulin secretion, and mutations in this gene result in impaired glucose regulation from birth.This subtype involves mutations in transcription factors that regulate beta-cell function. Beta-cell dysfunction occurs during adolescence or early adulthood, leading to impaired insulin secretion and subsequent diabetes onset.</w:t>
      </w:r>
    </w:p>
    <w:p w:rsidR="00227F96" w:rsidRPr="00280742" w:rsidRDefault="00B629E3">
      <w:pPr>
        <w:pStyle w:val="a6"/>
        <w:spacing w:line="360" w:lineRule="auto"/>
      </w:pPr>
      <w:r w:rsidRPr="00280742">
        <w:t>Overall, MODY represents a distinct subset of diabetes characterized by genetic mutations affecting beta-cell function, with specific subtypes distinguished by the underlying genetic defect and age of onset. Recognition of the clinical features and subtypes of MODY is essential for accurate diagnosis and appropriate management strategies.</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COMPARISON OF TYPE 1,TYPE 2 DIABETES MELLITUS AND MODY</w:t>
      </w:r>
    </w:p>
    <w:p w:rsidR="00227F96" w:rsidRPr="00280742" w:rsidRDefault="00227F96">
      <w:pPr>
        <w:rPr>
          <w:rFonts w:ascii="Times New Roman" w:hAnsi="Times New Roman" w:cs="Times New Roman"/>
          <w:sz w:val="24"/>
          <w:szCs w:val="24"/>
        </w:rPr>
      </w:pPr>
    </w:p>
    <w:tbl>
      <w:tblPr>
        <w:tblStyle w:val="a7"/>
        <w:tblW w:w="0" w:type="auto"/>
        <w:tblLook w:val="04A0"/>
      </w:tblPr>
      <w:tblGrid>
        <w:gridCol w:w="2324"/>
        <w:gridCol w:w="2128"/>
        <w:gridCol w:w="2124"/>
        <w:gridCol w:w="1946"/>
      </w:tblGrid>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CHARACTERSTICS</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MODY</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TYPE 1 DM</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TYPE 2DM</w:t>
            </w:r>
          </w:p>
        </w:tc>
      </w:tr>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AGE AT DIAGNOSIS</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&lt;25YEARS</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5-20 YEARS</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&gt;25YEARS</w:t>
            </w:r>
          </w:p>
        </w:tc>
      </w:tr>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PARENTRAL HISTORY</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60-95%</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&lt;10%</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10-40%</w:t>
            </w:r>
          </w:p>
        </w:tc>
      </w:tr>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INHERITANCE</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AD AUTOIMMUNE DISEASE</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AD AUTOIMMUNE DISEASE</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POLYGENIC</w:t>
            </w:r>
          </w:p>
        </w:tc>
      </w:tr>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OBESITY </w:t>
            </w:r>
          </w:p>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INSULIN RESISTANCE</w:t>
            </w:r>
          </w:p>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METABOLLIC SYNDROME</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UNCOMMON</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UNCOMMON</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COMMON</w:t>
            </w:r>
          </w:p>
        </w:tc>
      </w:tr>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BETA CELL ANTIBODIES</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ABSENT</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PRESENT</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ABSENT</w:t>
            </w:r>
          </w:p>
        </w:tc>
      </w:tr>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 PEPTIDE</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NORMAL</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UNDETECTABLE</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HIGH-LOW</w:t>
            </w:r>
          </w:p>
        </w:tc>
      </w:tr>
      <w:tr w:rsidR="00227F96" w:rsidRPr="00280742">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OPTIMAL TREATMENT</w:t>
            </w:r>
          </w:p>
        </w:tc>
        <w:tc>
          <w:tcPr>
            <w:tcW w:w="2130"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SULFONYLUREA (MODY 1,3,4)</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INSULIN</w:t>
            </w:r>
          </w:p>
        </w:tc>
        <w:tc>
          <w:tcPr>
            <w:tcW w:w="2131" w:type="dxa"/>
          </w:tcPr>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OHA</w:t>
            </w:r>
          </w:p>
        </w:tc>
      </w:tr>
    </w:tbl>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 xml:space="preserve"> TABLE</w:t>
      </w:r>
      <w:r w:rsidR="00BB30FF">
        <w:rPr>
          <w:rFonts w:ascii="Times New Roman" w:hAnsi="Times New Roman" w:cs="Times New Roman"/>
          <w:sz w:val="24"/>
          <w:szCs w:val="24"/>
        </w:rPr>
        <w:t>1</w:t>
      </w:r>
      <w:r w:rsidRPr="00280742">
        <w:rPr>
          <w:rFonts w:ascii="Times New Roman" w:hAnsi="Times New Roman" w:cs="Times New Roman"/>
          <w:sz w:val="24"/>
          <w:szCs w:val="24"/>
        </w:rPr>
        <w:t>COMPARISION OF TYPE 1 DM WITH TYPE 2 DM WITH MODY</w:t>
      </w:r>
    </w:p>
    <w:p w:rsidR="00156F89" w:rsidRDefault="00156F89" w:rsidP="00D244D0">
      <w:pPr>
        <w:outlineLvl w:val="0"/>
        <w:rPr>
          <w:rFonts w:ascii="Times New Roman" w:hAnsi="Times New Roman" w:cs="Times New Roman"/>
          <w:sz w:val="24"/>
          <w:szCs w:val="24"/>
        </w:rPr>
      </w:pPr>
    </w:p>
    <w:p w:rsidR="00156F89" w:rsidRDefault="00156F89" w:rsidP="00D244D0">
      <w:pPr>
        <w:outlineLvl w:val="0"/>
        <w:rPr>
          <w:rFonts w:ascii="Times New Roman" w:hAnsi="Times New Roman" w:cs="Times New Roman"/>
          <w:sz w:val="24"/>
          <w:szCs w:val="24"/>
        </w:rPr>
      </w:pPr>
    </w:p>
    <w:p w:rsidR="00156F89" w:rsidRPr="00280742" w:rsidRDefault="00156F89" w:rsidP="00D244D0">
      <w:pPr>
        <w:outlineLvl w:val="0"/>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commentRangeStart w:id="7"/>
      <w:r w:rsidRPr="00280742">
        <w:rPr>
          <w:rFonts w:ascii="Times New Roman" w:hAnsi="Times New Roman" w:cs="Times New Roman"/>
          <w:sz w:val="24"/>
          <w:szCs w:val="24"/>
        </w:rPr>
        <w:t>RELEASE</w:t>
      </w:r>
      <w:commentRangeEnd w:id="7"/>
      <w:r w:rsidR="00156F89">
        <w:rPr>
          <w:rStyle w:val="ab"/>
        </w:rPr>
        <w:commentReference w:id="7"/>
      </w:r>
      <w:r w:rsidRPr="00280742">
        <w:rPr>
          <w:rFonts w:ascii="Times New Roman" w:hAnsi="Times New Roman" w:cs="Times New Roman"/>
          <w:sz w:val="24"/>
          <w:szCs w:val="24"/>
        </w:rPr>
        <w:t xml:space="preserve"> OF INSULIN</w:t>
      </w: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6043930" cy="3150870"/>
            <wp:effectExtent l="0" t="0" r="13970" b="11430"/>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43930" cy="3150870"/>
                    </a:xfrm>
                    <a:prstGeom prst="rect">
                      <a:avLst/>
                    </a:prstGeom>
                  </pic:spPr>
                </pic:pic>
              </a:graphicData>
            </a:graphic>
          </wp:inline>
        </w:drawing>
      </w:r>
    </w:p>
    <w:p w:rsidR="00227F96" w:rsidRPr="00280742" w:rsidRDefault="00227F96">
      <w:pPr>
        <w:rPr>
          <w:rFonts w:ascii="Times New Roman" w:hAnsi="Times New Roman" w:cs="Times New Roman"/>
          <w:sz w:val="24"/>
          <w:szCs w:val="24"/>
        </w:rPr>
      </w:pPr>
    </w:p>
    <w:p w:rsidR="00227F96" w:rsidRPr="00280742" w:rsidRDefault="00B629E3" w:rsidP="00D244D0">
      <w:pPr>
        <w:jc w:val="center"/>
        <w:outlineLvl w:val="0"/>
        <w:rPr>
          <w:rFonts w:ascii="Times New Roman" w:hAnsi="Times New Roman" w:cs="Times New Roman"/>
          <w:sz w:val="24"/>
          <w:szCs w:val="24"/>
        </w:rPr>
      </w:pPr>
      <w:r w:rsidRPr="00280742">
        <w:rPr>
          <w:rFonts w:ascii="Times New Roman" w:hAnsi="Times New Roman" w:cs="Times New Roman"/>
          <w:sz w:val="24"/>
          <w:szCs w:val="24"/>
        </w:rPr>
        <w:t>FIG</w:t>
      </w:r>
      <w:r>
        <w:rPr>
          <w:rFonts w:ascii="Times New Roman" w:hAnsi="Times New Roman" w:cs="Times New Roman"/>
          <w:sz w:val="24"/>
          <w:szCs w:val="24"/>
        </w:rPr>
        <w:t>4</w:t>
      </w:r>
      <w:r w:rsidRPr="00280742">
        <w:rPr>
          <w:rFonts w:ascii="Times New Roman" w:hAnsi="Times New Roman" w:cs="Times New Roman"/>
          <w:sz w:val="24"/>
          <w:szCs w:val="24"/>
          <w:vertAlign w:val="superscript"/>
        </w:rPr>
        <w:t>5</w:t>
      </w:r>
      <w:r w:rsidRPr="00280742">
        <w:rPr>
          <w:rFonts w:ascii="Times New Roman" w:hAnsi="Times New Roman" w:cs="Times New Roman"/>
          <w:sz w:val="24"/>
          <w:szCs w:val="24"/>
        </w:rPr>
        <w:t>INSULIN RELEASE PROCESS</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4939030" cy="2773045"/>
            <wp:effectExtent l="0" t="0" r="13970" b="8255"/>
            <wp:docPr id="10"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8"/>
                    <pic:cNvPicPr>
                      <a:picLocks noGrp="1" noChangeAspect="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39030" cy="2773045"/>
                    </a:xfrm>
                    <a:prstGeom prst="rect">
                      <a:avLst/>
                    </a:prstGeom>
                  </pic:spPr>
                </pic:pic>
              </a:graphicData>
            </a:graphic>
          </wp:inline>
        </w:drawing>
      </w:r>
    </w:p>
    <w:p w:rsidR="00227F96" w:rsidRPr="00280742" w:rsidRDefault="00B629E3" w:rsidP="00D244D0">
      <w:pPr>
        <w:pStyle w:val="1"/>
        <w:rPr>
          <w:rFonts w:ascii="Times New Roman" w:hAnsi="Times New Roman" w:hint="default"/>
          <w:sz w:val="24"/>
          <w:szCs w:val="24"/>
        </w:rPr>
      </w:pPr>
      <w:r w:rsidRPr="00280742">
        <w:rPr>
          <w:rFonts w:ascii="Times New Roman" w:hAnsi="Times New Roman" w:hint="default"/>
          <w:b w:val="0"/>
          <w:bCs w:val="0"/>
          <w:sz w:val="24"/>
          <w:szCs w:val="24"/>
        </w:rPr>
        <w:t>FIG</w:t>
      </w:r>
      <w:r>
        <w:rPr>
          <w:rFonts w:ascii="Times New Roman" w:hAnsi="Times New Roman" w:hint="default"/>
          <w:b w:val="0"/>
          <w:bCs w:val="0"/>
          <w:sz w:val="24"/>
          <w:szCs w:val="24"/>
        </w:rPr>
        <w:t>5</w:t>
      </w:r>
      <w:r w:rsidRPr="00280742">
        <w:rPr>
          <w:rFonts w:ascii="Times New Roman" w:hAnsi="Times New Roman" w:hint="default"/>
          <w:b w:val="0"/>
          <w:bCs w:val="0"/>
          <w:sz w:val="24"/>
          <w:szCs w:val="24"/>
        </w:rPr>
        <w:t>Flow through diagram showing types of diabetes mellitus including the relative prevalence of various maturity-onset diabetes of the young (MODY) causing genes. </w:t>
      </w:r>
    </w:p>
    <w:p w:rsidR="00227F96" w:rsidRPr="00280742" w:rsidRDefault="00227F96">
      <w:pPr>
        <w:rPr>
          <w:rFonts w:ascii="Times New Roman" w:hAnsi="Times New Roman" w:cs="Times New Roman"/>
          <w:sz w:val="24"/>
          <w:szCs w:val="24"/>
          <w:vertAlign w:val="superscript"/>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lastRenderedPageBreak/>
        <w:t>DIFFERENT TYPE OF MODY AND THEIR CHARCTERSTICS</w:t>
      </w: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4572000" cy="4885055"/>
            <wp:effectExtent l="0" t="0" r="0" b="0"/>
            <wp:docPr id="19" name="Picture 19" descr="_USD1301-Monogeni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_USD1301-Monogenic-T2"/>
                    <pic:cNvPicPr>
                      <a:picLocks noChangeAspect="1"/>
                    </pic:cNvPicPr>
                  </pic:nvPicPr>
                  <pic:blipFill>
                    <a:blip r:embed="rId15"/>
                    <a:srcRect l="1988" t="9177" r="622" b="10411"/>
                    <a:stretch>
                      <a:fillRect/>
                    </a:stretch>
                  </pic:blipFill>
                  <pic:spPr>
                    <a:xfrm>
                      <a:off x="0" y="0"/>
                      <a:ext cx="4572000" cy="4885055"/>
                    </a:xfrm>
                    <a:prstGeom prst="rect">
                      <a:avLst/>
                    </a:prstGeom>
                  </pic:spPr>
                </pic:pic>
              </a:graphicData>
            </a:graphic>
          </wp:inline>
        </w:drawing>
      </w: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 xml:space="preserve"> FIG </w:t>
      </w:r>
      <w:r>
        <w:rPr>
          <w:rFonts w:ascii="Times New Roman" w:hAnsi="Times New Roman" w:cs="Times New Roman"/>
          <w:sz w:val="24"/>
          <w:szCs w:val="24"/>
        </w:rPr>
        <w:t>6</w:t>
      </w:r>
      <w:r w:rsidRPr="00280742">
        <w:rPr>
          <w:rFonts w:ascii="Times New Roman" w:hAnsi="Times New Roman" w:cs="Times New Roman"/>
          <w:sz w:val="24"/>
          <w:szCs w:val="24"/>
          <w:vertAlign w:val="superscript"/>
        </w:rPr>
        <w:t xml:space="preserve">7-9  </w:t>
      </w:r>
      <w:r w:rsidRPr="00280742">
        <w:rPr>
          <w:rFonts w:ascii="Times New Roman" w:hAnsi="Times New Roman" w:cs="Times New Roman"/>
          <w:sz w:val="24"/>
          <w:szCs w:val="24"/>
        </w:rPr>
        <w:t xml:space="preserve">CLINICAL PRESENTATION OF FAMILIAL DIABTES </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CLINICAL CHARACTERISTICS OF MODY</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In those with glucokinase defect the onset is at a much younger age, the glucose intolerance being mild and managed with diet, exercise and antidiabetic agents. In transcription factor defects (HNF-1alpha, HNF-1beta, HNF-4alpha) the onset is at adolescent age, progressively requiring oral antidiabetic drugs (OADs) and later insulin. MODY 3 (HNF-1 alpha defect) is the most common in adults. MODY 2 (glucokinase defect) is the most common variety among asymptomatic fasting hyperglycemia in children</w:t>
      </w:r>
    </w:p>
    <w:p w:rsidR="00227F96" w:rsidRPr="00280742" w:rsidRDefault="00227F96">
      <w:pPr>
        <w:spacing w:line="360" w:lineRule="auto"/>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B629E3" w:rsidP="00D244D0">
      <w:pPr>
        <w:spacing w:line="360" w:lineRule="auto"/>
        <w:outlineLvl w:val="0"/>
        <w:rPr>
          <w:rFonts w:ascii="Times New Roman" w:hAnsi="Times New Roman" w:cs="Times New Roman"/>
          <w:sz w:val="24"/>
          <w:szCs w:val="24"/>
        </w:rPr>
      </w:pPr>
      <w:r w:rsidRPr="00280742">
        <w:rPr>
          <w:rFonts w:ascii="Times New Roman" w:hAnsi="Times New Roman" w:cs="Times New Roman"/>
          <w:sz w:val="24"/>
          <w:szCs w:val="24"/>
        </w:rPr>
        <w:t>MODY- 3</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MODY-3, also known as HNF-1 alpha defect, is one of the most common subtypes of Maturity-Onset Diabetes of the Young (MODY). MODY-3 accounts for a significant portion of MODY cases and is considered one of the most prevalent forms. Due to its early onset and genetic nature, MODY-3 may be misdiagnosed as type 1 diabetes, particularly in younger individuals. MODY-3 typically develops before the age of 25 years, distinguishing it from other forms of diabetes. Initially, fasting blood glucose (FBG) levels may appear normal, but a significant rise (&gt;5 mmol/L) in oral glucose tolerance test (OGTT) results is often observed. Over time, hyperglycemia tends to worsen, highlighting the progressive nature of MODY-3. Patients with MODY-3 often exhibit a low renal threshold for glucose, leading to glycosuria. Patients with MODY-3 are typically not obese, distinguishing them from individuals with type 2 diabetes. A significant familial history of diabetes is commonly observed in individuals with MODY-3, with affected parents and grandparents often present.</w:t>
      </w:r>
    </w:p>
    <w:p w:rsidR="00227F96" w:rsidRPr="00280742" w:rsidRDefault="00B629E3">
      <w:pPr>
        <w:pStyle w:val="a6"/>
        <w:spacing w:line="360" w:lineRule="auto"/>
      </w:pPr>
      <w:r w:rsidRPr="00280742">
        <w:t>HNF-1 Alpha (HNF1A) Gene: The HNF-1 alpha gene (HNF1A) is located on chromosome 12q24.2 in humans. HNF-1 alpha is a transcription factor highly expressed in the pancreas, where it plays a crucial role in regulating the expression of various genes involved in glucose metabolism. HNF-1 alpha influences pancreatic islet cell function, including the regulation of insulin gene expression. Mutations in the HNF1A gene lead to impaired transcriptional regulation of genes involved in glucose metabolism, contributing to abnormal pancreatic function and subsequent diabetes development. HNF-1 alpha mutations can also affect the function of HNF-4 alpha (MODY-1), another transcription factor involved in pancreatic beta-cell function.</w:t>
      </w:r>
    </w:p>
    <w:p w:rsidR="00227F96" w:rsidRPr="00280742" w:rsidRDefault="00B629E3">
      <w:pPr>
        <w:pStyle w:val="a6"/>
        <w:spacing w:line="360" w:lineRule="auto"/>
      </w:pPr>
      <w:r w:rsidRPr="00280742">
        <w:t>Overall, MODY-3, characterized by mutations in the HNF1A gene, represents a significant subtype of MODY with distinct clinical features and genetic underpinnings. Recognition of these features is crucial for accurate diagnosis and appropriate management of affected individuals.</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CLINICAL PRESENTATION OF MODY</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Patient will have mild to moderate hyperglycemia (typically 130–250 mg/dl, or 7– 14 mmol/l) discovered before 25 years of age. A first-degree relative with a similar </w:t>
      </w:r>
      <w:r w:rsidRPr="00280742">
        <w:rPr>
          <w:rFonts w:ascii="Times New Roman" w:hAnsi="Times New Roman" w:cs="Times New Roman"/>
          <w:sz w:val="24"/>
          <w:szCs w:val="24"/>
        </w:rPr>
        <w:lastRenderedPageBreak/>
        <w:t>degree of diabetes. Patient will have usual diabetic symptoms like polyuria, polydypsia&amp; polyphagia and absence of positive antibodies or other autoimmunity (e.g., thyroiditis) in patient and family with persistence of a low insulin requirement (e.g., less than 0.5 u/kg/day) past the usual "honeymoon" period.</w:t>
      </w:r>
    </w:p>
    <w:p w:rsidR="00227F96" w:rsidRPr="00280742" w:rsidRDefault="00227F96">
      <w:pPr>
        <w:spacing w:line="360" w:lineRule="auto"/>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WHEN TO SUSPECT A DIAGNOSIS OF TYPE 1 DIABETES IN CHILDREN MAY NOT BE CORRECT ?</w:t>
      </w:r>
    </w:p>
    <w:p w:rsidR="00227F96" w:rsidRPr="00280742" w:rsidRDefault="00227F96">
      <w:pPr>
        <w:spacing w:line="360" w:lineRule="auto"/>
        <w:ind w:firstLineChars="50" w:firstLine="120"/>
        <w:rPr>
          <w:rFonts w:ascii="Times New Roman" w:hAnsi="Times New Roman" w:cs="Times New Roman"/>
          <w:sz w:val="24"/>
          <w:szCs w:val="24"/>
        </w:rPr>
      </w:pPr>
    </w:p>
    <w:p w:rsidR="00227F96" w:rsidRPr="00280742" w:rsidRDefault="00B629E3">
      <w:pPr>
        <w:spacing w:line="360" w:lineRule="auto"/>
        <w:ind w:firstLineChars="50" w:firstLine="120"/>
        <w:rPr>
          <w:rFonts w:ascii="Times New Roman" w:hAnsi="Times New Roman" w:cs="Times New Roman"/>
          <w:sz w:val="24"/>
          <w:szCs w:val="24"/>
        </w:rPr>
      </w:pPr>
      <w:r w:rsidRPr="00280742">
        <w:rPr>
          <w:rFonts w:ascii="Times New Roman" w:hAnsi="Times New Roman" w:cs="Times New Roman"/>
          <w:sz w:val="24"/>
          <w:szCs w:val="24"/>
        </w:rPr>
        <w:t>Family history of diabetes with a parent affected (2-4%) with evidence of endogenous insulin production outside the honeymoon’ phase (after 3 years of diabetes) with detectable c peptide (&gt;200 nmol/l) when glucose &gt; 8 mmol/l. (1-5% type 1). and  when pancreatic islet autoantibodies are absent, especially if measured at diagnosis (3-30% type 1 patients)</w:t>
      </w: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WHEN TO SUSPECT A DIAGNOSIS OF TYPE 2 DIABETES IN CHILDREN MAY NOT BE CORRECT?</w:t>
      </w: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Patient is not markedly obese or diabetic family members who are normal weight (20%) with acanthosis nigricans not detected (10%) and ethnic background from a low prevalence type 2 diabetes race e.g. europeancaucasian (0-45%) and no evidence of insulin resistance with fasting C peptide within the normal range (0-20%)</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Recent work done by Tim J, Mcdonald… showed that high sensitivity C- reactivity levels are lower in HNF a1 than type 1, type 2 diabetes or glucokinase (GCK) – MODY (diabetes care journal) . Recent work done S A. Mughal, R. Park… showed that serum Apo M levels are lower in HNF a1 than type 1. (diabetes med journal)</w:t>
      </w:r>
    </w:p>
    <w:p w:rsidR="00227F96" w:rsidRPr="00280742" w:rsidRDefault="00227F96">
      <w:pPr>
        <w:spacing w:line="360" w:lineRule="auto"/>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commentRangeStart w:id="8"/>
      <w:r w:rsidRPr="00280742">
        <w:rPr>
          <w:rFonts w:ascii="Times New Roman" w:hAnsi="Times New Roman" w:cs="Times New Roman"/>
          <w:sz w:val="24"/>
          <w:szCs w:val="24"/>
        </w:rPr>
        <w:t>MANAGEMENT</w:t>
      </w:r>
      <w:commentRangeEnd w:id="8"/>
      <w:r w:rsidR="000F3976">
        <w:rPr>
          <w:rStyle w:val="ab"/>
        </w:rPr>
        <w:commentReference w:id="8"/>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 Unfortunately, chronic hyperglycemia of any cause can eventually cause blood vessel damage and the microvascular complications of diabetes.</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The principal treatment goals for people with MODY — keeping the blood sugars as close to normal as possible ("good glycemic control"), while minimizing other vascular risk factors — are the same for all known forms of diabetes.</w:t>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PRIMARY MANAGEMENT</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Patients with HNF-1a gene mutations can initially be treated with diet and exercise. Although they will have marked post prandial hyperglycaemia with high carbohydrate food as the beta-cell defect results in insufficient increase in insulin secretion with hyperglycaemia.</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Most patients will need pharmacological treatment as they show progressive deterioration in glycaemic control throughout life and are at risk of considerable micro-vascular and macro-vascular complications.</w:t>
      </w: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The current international society for pediatric and adolescent diabetes/international diabetes federation guidelines published in 2009 suggest switching patients with proven HNF1a mutation (HNF1a–MODY) from insulin to sulfonylurea. Despite this, 40% of HNF1a patients with paediatric and adolescent-onset diabetes continued to receive insulin treatment. </w:t>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PHARMACOLOGICAL TREATMENT</w:t>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Sulphonylyureas</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The first treatment to be used in children should be low dose sulphonylureas which results in a 4 fold greater lowering of glucose than metformin. These patients are extremely sensitive to sulphonylureas and as long as they do not have problems with hypoglycaemia can be maintained on these for many decades .Glycaemic control in sulphonylureas is often better than that achieved on insulin especially in children and young adults. The dose of sulphonylureas should initially be low (¼ - of the normal starting dose in adults) to avoid hypoglycaemia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If there is hypoglycaemia, sulphonylurea preparation such as gliclazide a slow release preparation or meal time doses with a short acting agents like nateglinide may be considered.</w:t>
      </w:r>
    </w:p>
    <w:p w:rsidR="00227F96" w:rsidRPr="00280742" w:rsidRDefault="00227F96">
      <w:pPr>
        <w:rPr>
          <w:rFonts w:ascii="Times New Roman" w:hAnsi="Times New Roman" w:cs="Times New Roman"/>
          <w:sz w:val="24"/>
          <w:szCs w:val="24"/>
        </w:rPr>
      </w:pPr>
    </w:p>
    <w:p w:rsidR="00227F96" w:rsidRPr="00280742" w:rsidRDefault="00B629E3" w:rsidP="00D244D0">
      <w:pPr>
        <w:spacing w:line="360" w:lineRule="auto"/>
        <w:outlineLvl w:val="0"/>
        <w:rPr>
          <w:rFonts w:ascii="Times New Roman" w:hAnsi="Times New Roman" w:cs="Times New Roman"/>
          <w:sz w:val="24"/>
          <w:szCs w:val="24"/>
        </w:rPr>
      </w:pPr>
      <w:r w:rsidRPr="00280742">
        <w:rPr>
          <w:rFonts w:ascii="Times New Roman" w:hAnsi="Times New Roman" w:cs="Times New Roman"/>
          <w:sz w:val="24"/>
          <w:szCs w:val="24"/>
        </w:rPr>
        <w:t>Meglitinide analogues</w:t>
      </w: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Marianne Becker, Angela Galler and Klemens Raile had published case reports suggesting that meglitinides can be used as single or combined based therapy for MODY3 patients. The HbA1c with the use of meglitinide was 6.8% whereas with insulin was 7.5%.In combination with insulin HbA1c was 7.2%</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spacing w:line="360" w:lineRule="auto"/>
        <w:outlineLvl w:val="0"/>
        <w:rPr>
          <w:rFonts w:ascii="Times New Roman" w:hAnsi="Times New Roman" w:cs="Times New Roman"/>
          <w:sz w:val="24"/>
          <w:szCs w:val="24"/>
        </w:rPr>
      </w:pPr>
      <w:r w:rsidRPr="00280742">
        <w:rPr>
          <w:rFonts w:ascii="Times New Roman" w:hAnsi="Times New Roman" w:cs="Times New Roman"/>
          <w:sz w:val="24"/>
          <w:szCs w:val="24"/>
        </w:rPr>
        <w:t>Glucagon like peptide – 1 receptor agonist therapy</w:t>
      </w: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Maricor, Charles, Christine, Kevin published a case study report of three patients saying that GLP-1 receptor agonist therapy may be of value in managing glycemia in patients with MODY 3 They also experienced significant weight loss (10-15%) HbA1c was 7.4%, 6.4 % and 6.8 % respectively. With the help of GLP 1, they were able to discontinue insulin.</w:t>
      </w:r>
    </w:p>
    <w:p w:rsidR="00227F96" w:rsidRPr="00280742" w:rsidRDefault="00227F96">
      <w:pPr>
        <w:spacing w:line="360" w:lineRule="auto"/>
        <w:rPr>
          <w:rFonts w:ascii="Times New Roman" w:hAnsi="Times New Roman" w:cs="Times New Roman"/>
          <w:sz w:val="24"/>
          <w:szCs w:val="24"/>
        </w:rPr>
      </w:pPr>
    </w:p>
    <w:p w:rsidR="00227F96" w:rsidRPr="00280742" w:rsidRDefault="00B629E3" w:rsidP="00D244D0">
      <w:pPr>
        <w:spacing w:line="360" w:lineRule="auto"/>
        <w:outlineLvl w:val="0"/>
        <w:rPr>
          <w:rFonts w:ascii="Times New Roman" w:hAnsi="Times New Roman" w:cs="Times New Roman"/>
          <w:sz w:val="24"/>
          <w:szCs w:val="24"/>
        </w:rPr>
      </w:pPr>
      <w:r w:rsidRPr="00280742">
        <w:rPr>
          <w:rFonts w:ascii="Times New Roman" w:hAnsi="Times New Roman" w:cs="Times New Roman"/>
          <w:sz w:val="24"/>
          <w:szCs w:val="24"/>
        </w:rPr>
        <w:t>Other points</w:t>
      </w: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If obese, exercise should be prescribed to promote weight loss.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MODY 1, 3, 4: Respond very well to antidiabetic agents; insulin-replacement therapy in late stages particularly MODY 1 and 3.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MODY 2: Nonprogressive; can usually be managed with diet and exercise alone.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MODY 5: May require endocrine and exocrine replacements and therapy for other organ abnormalities</w:t>
      </w:r>
    </w:p>
    <w:p w:rsidR="00227F96" w:rsidRPr="00280742" w:rsidRDefault="00227F96">
      <w:pPr>
        <w:rPr>
          <w:rFonts w:ascii="Times New Roman" w:hAnsi="Times New Roman" w:cs="Times New Roman"/>
          <w:sz w:val="24"/>
          <w:szCs w:val="24"/>
        </w:rPr>
      </w:pPr>
    </w:p>
    <w:p w:rsidR="00227F96" w:rsidRPr="00280742" w:rsidRDefault="00B629E3" w:rsidP="00D244D0">
      <w:pPr>
        <w:spacing w:line="360" w:lineRule="auto"/>
        <w:outlineLvl w:val="0"/>
        <w:rPr>
          <w:rFonts w:ascii="Times New Roman" w:hAnsi="Times New Roman" w:cs="Times New Roman"/>
          <w:sz w:val="24"/>
          <w:szCs w:val="24"/>
        </w:rPr>
      </w:pPr>
      <w:r w:rsidRPr="00280742">
        <w:rPr>
          <w:rFonts w:ascii="Times New Roman" w:hAnsi="Times New Roman" w:cs="Times New Roman"/>
          <w:sz w:val="24"/>
          <w:szCs w:val="24"/>
        </w:rPr>
        <w:t>Neonatal Diabetes Mellitus</w:t>
      </w:r>
    </w:p>
    <w:p w:rsidR="00227F96" w:rsidRPr="00280742" w:rsidRDefault="00227F96">
      <w:pPr>
        <w:spacing w:line="360" w:lineRule="auto"/>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Neonatal Diabetes Mellitus presents within the first few weeks of life.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It needs insulin for at least 2 weeks and resolves by a median 12 weeks.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Rarely, it lasts until 12 months of age.  In the west, TNDM represents 50–60% of cases of neonatal diabetes while in India, 5% had TNDM.</w:t>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Mutations in transient neonatal diabetes mellitus</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Chromosome 6q related ,Paternal uniparental disomy ,Duplication defects ,Hypomethylation related ,ABCC8 (SUR) mutation ( ATP Binding Cassette </w:t>
      </w:r>
      <w:r w:rsidRPr="00280742">
        <w:rPr>
          <w:rFonts w:ascii="Times New Roman" w:hAnsi="Times New Roman" w:cs="Times New Roman"/>
          <w:sz w:val="24"/>
          <w:szCs w:val="24"/>
        </w:rPr>
        <w:lastRenderedPageBreak/>
        <w:t>Subfamily C Membrane 8 ),KCNJ11 (Kir6.2) mutation ( Potassium Inwardly Rectifying Channel Subfamily J Member 11)</w:t>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CLINICAL FEATURES</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The cardinal features of TNDM are severe intrauterine growth retardation, hyperglycemia, dehydration, and absence of ketoacidosis. Neonates may present with breathlessness, lethargy and poor feeding. Insulin is required for fetal growth, and severe growth retardation could be due to insulin deficiency. Hyperglycemia is usually identified during routine investigations. Infants with 6q 24 related mutations may have macroglossia.  Though transient, DM may recur in the pediatric age range, or later in adulthood in over 50% of cases. Annual evaluation for hyperglycemia is therefore mandatory in all children with TNDM during the remission phase.During relapse initial management may be by diet modificationBut subsequently, they may need insulin, as the response of oral sulfonylurea is uncertain.Women who have had 6q24-TNDM are at risk of relapse of diabetes during pregnancy .Thus, the “transient” form of the disease is most likely a permanent β-cell defect with variable expression during growth and development. Considerable overlap occurs between TNDM and PNDM and hence they cannot be distinguished based on clinical features alone can only be differentiated based on genetic testing. TNDM patients have lower insulin requirement in comparison to PNDM.PERMANENT NEONATAL DIABETES MELLITUS </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This is a form of NDM which does not go into remission. In India, 61% had PNDM and only 5% had TNDM.About 60–75% of the PNDM with onset less than 6 months of age were found to be of genetic origin.Based on the genetics of neonatal diabetes, they could be either syndromic or non-syndromic. </w:t>
      </w:r>
    </w:p>
    <w:p w:rsidR="00227F96" w:rsidRPr="00280742" w:rsidRDefault="00227F96">
      <w:pPr>
        <w:spacing w:line="360" w:lineRule="auto"/>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tbl>
      <w:tblPr>
        <w:tblW w:w="8139" w:type="dxa"/>
        <w:tblCellMar>
          <w:left w:w="0" w:type="dxa"/>
          <w:right w:w="0" w:type="dxa"/>
        </w:tblCellMar>
        <w:tblLook w:val="04A0"/>
      </w:tblPr>
      <w:tblGrid>
        <w:gridCol w:w="4753"/>
        <w:gridCol w:w="3841"/>
      </w:tblGrid>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rsidR="00227F96" w:rsidRPr="00280742" w:rsidRDefault="00B629E3">
            <w:pPr>
              <w:pStyle w:val="a6"/>
            </w:pPr>
            <w:r w:rsidRPr="00280742">
              <w:rPr>
                <w:i/>
                <w:iCs/>
                <w:color w:val="000000"/>
              </w:rPr>
              <w:t>Genetic defect</w:t>
            </w:r>
          </w:p>
        </w:tc>
        <w:tc>
          <w:tcPr>
            <w:tcW w:w="3638"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rsidR="00227F96" w:rsidRPr="00280742" w:rsidRDefault="00B629E3">
            <w:pPr>
              <w:pStyle w:val="a6"/>
            </w:pPr>
            <w:r w:rsidRPr="00280742">
              <w:rPr>
                <w:i/>
                <w:iCs/>
                <w:color w:val="000000"/>
              </w:rPr>
              <w:t>Associated features </w:t>
            </w:r>
          </w:p>
        </w:tc>
      </w:tr>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Heterozygous mutations of the ABCC8 gene (SUR) </w:t>
            </w:r>
          </w:p>
          <w:p w:rsidR="00227F96" w:rsidRPr="00280742" w:rsidRDefault="00B629E3">
            <w:pPr>
              <w:pStyle w:val="a6"/>
            </w:pPr>
            <w:r w:rsidRPr="00280742">
              <w:rPr>
                <w:color w:val="000000"/>
              </w:rPr>
              <w:t>KCNJ11 (Kir6.2)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227F96">
            <w:pPr>
              <w:pStyle w:val="a6"/>
            </w:pPr>
          </w:p>
          <w:p w:rsidR="00227F96" w:rsidRPr="00280742" w:rsidRDefault="00B629E3">
            <w:pPr>
              <w:pStyle w:val="a6"/>
            </w:pPr>
            <w:r w:rsidRPr="00280742">
              <w:rPr>
                <w:color w:val="000000"/>
              </w:rPr>
              <w:t>Developmental delay </w:t>
            </w:r>
          </w:p>
        </w:tc>
      </w:tr>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B629E3">
            <w:pPr>
              <w:pStyle w:val="a6"/>
            </w:pPr>
            <w:r w:rsidRPr="00280742">
              <w:rPr>
                <w:color w:val="000000"/>
              </w:rPr>
              <w:t>Wolcott-Rallison syndrome with EIF2AK3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B629E3">
            <w:pPr>
              <w:pStyle w:val="a6"/>
            </w:pPr>
            <w:r w:rsidRPr="00280742">
              <w:rPr>
                <w:color w:val="000000"/>
              </w:rPr>
              <w:t>Epiphyseal dysplasia, renal and hepatic failure </w:t>
            </w:r>
          </w:p>
        </w:tc>
      </w:tr>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lastRenderedPageBreak/>
              <w:t>IPEX syndrome with autoimmunity with FOXP3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Diarrhoea, eczema, thyroiditis </w:t>
            </w:r>
          </w:p>
        </w:tc>
      </w:tr>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B629E3">
            <w:pPr>
              <w:pStyle w:val="a6"/>
            </w:pPr>
            <w:r w:rsidRPr="00280742">
              <w:rPr>
                <w:color w:val="000000"/>
              </w:rPr>
              <w:t>Homozygous glucokinase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B629E3">
            <w:pPr>
              <w:pStyle w:val="a6"/>
            </w:pPr>
            <w:r w:rsidRPr="00280742">
              <w:rPr>
                <w:color w:val="000000"/>
              </w:rPr>
              <w:t>Heterozygote parents </w:t>
            </w:r>
          </w:p>
        </w:tc>
      </w:tr>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IPF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Heterozygote parents </w:t>
            </w:r>
          </w:p>
        </w:tc>
      </w:tr>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B629E3">
            <w:pPr>
              <w:pStyle w:val="a6"/>
            </w:pPr>
            <w:r w:rsidRPr="00280742">
              <w:rPr>
                <w:color w:val="000000"/>
              </w:rPr>
              <w:t>PTF1A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B629E3">
            <w:pPr>
              <w:pStyle w:val="a6"/>
            </w:pPr>
            <w:r w:rsidRPr="00280742">
              <w:rPr>
                <w:color w:val="000000"/>
              </w:rPr>
              <w:t>Cerebellar hypoplasia, pancreatic involvement </w:t>
            </w:r>
          </w:p>
        </w:tc>
      </w:tr>
      <w:tr w:rsidR="00227F96" w:rsidRPr="00280742">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GLIS3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Hypothyroidism, glaucoma </w:t>
            </w:r>
          </w:p>
        </w:tc>
      </w:tr>
    </w:tbl>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tbl>
      <w:tblPr>
        <w:tblW w:w="7699" w:type="dxa"/>
        <w:tblCellMar>
          <w:left w:w="0" w:type="dxa"/>
          <w:right w:w="0" w:type="dxa"/>
        </w:tblCellMar>
        <w:tblLook w:val="04A0"/>
      </w:tblPr>
      <w:tblGrid>
        <w:gridCol w:w="3028"/>
        <w:gridCol w:w="5274"/>
      </w:tblGrid>
      <w:tr w:rsidR="00227F96" w:rsidRPr="00280742">
        <w:trPr>
          <w:trHeight w:val="798"/>
        </w:trPr>
        <w:tc>
          <w:tcPr>
            <w:tcW w:w="2815"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rsidR="00227F96" w:rsidRPr="00280742" w:rsidRDefault="00B629E3">
            <w:pPr>
              <w:pStyle w:val="a6"/>
            </w:pPr>
            <w:r w:rsidRPr="00280742">
              <w:rPr>
                <w:i/>
                <w:iCs/>
                <w:color w:val="000000"/>
              </w:rPr>
              <w:t>Genetic defect</w:t>
            </w:r>
          </w:p>
        </w:tc>
        <w:tc>
          <w:tcPr>
            <w:tcW w:w="4884"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rsidR="00227F96" w:rsidRPr="00280742" w:rsidRDefault="00B629E3">
            <w:pPr>
              <w:pStyle w:val="a6"/>
            </w:pPr>
            <w:r w:rsidRPr="00280742">
              <w:rPr>
                <w:i/>
                <w:iCs/>
                <w:color w:val="000000"/>
              </w:rPr>
              <w:t>Associated features </w:t>
            </w:r>
          </w:p>
        </w:tc>
      </w:tr>
      <w:tr w:rsidR="00227F96" w:rsidRPr="00280742">
        <w:trPr>
          <w:trHeight w:val="852"/>
        </w:trPr>
        <w:tc>
          <w:tcPr>
            <w:tcW w:w="2815"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HNF 1β mutation </w:t>
            </w:r>
          </w:p>
        </w:tc>
        <w:tc>
          <w:tcPr>
            <w:tcW w:w="4884"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Renal cysts, genital malformations </w:t>
            </w:r>
          </w:p>
        </w:tc>
      </w:tr>
      <w:tr w:rsidR="00227F96" w:rsidRPr="00280742">
        <w:trPr>
          <w:trHeight w:val="338"/>
        </w:trPr>
        <w:tc>
          <w:tcPr>
            <w:tcW w:w="2815"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B629E3">
            <w:pPr>
              <w:pStyle w:val="a6"/>
            </w:pPr>
            <w:r w:rsidRPr="00280742">
              <w:rPr>
                <w:color w:val="000000"/>
              </w:rPr>
              <w:t>Enteroviral related diabetes </w:t>
            </w:r>
          </w:p>
        </w:tc>
        <w:tc>
          <w:tcPr>
            <w:tcW w:w="4884"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rsidR="00227F96" w:rsidRPr="00280742" w:rsidRDefault="00227F96">
            <w:pPr>
              <w:pStyle w:val="a6"/>
            </w:pPr>
          </w:p>
        </w:tc>
      </w:tr>
      <w:tr w:rsidR="00227F96" w:rsidRPr="00280742">
        <w:trPr>
          <w:trHeight w:val="1250"/>
        </w:trPr>
        <w:tc>
          <w:tcPr>
            <w:tcW w:w="2815"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Others type A </w:t>
            </w:r>
          </w:p>
          <w:p w:rsidR="00227F96" w:rsidRPr="00280742" w:rsidRDefault="00B629E3">
            <w:pPr>
              <w:pStyle w:val="a6"/>
            </w:pPr>
            <w:r w:rsidRPr="00280742">
              <w:rPr>
                <w:color w:val="000000"/>
              </w:rPr>
              <w:t>Insulin resistance syndrome </w:t>
            </w:r>
          </w:p>
          <w:p w:rsidR="00227F96" w:rsidRPr="00280742" w:rsidRDefault="00B629E3">
            <w:pPr>
              <w:pStyle w:val="a6"/>
            </w:pPr>
            <w:r w:rsidRPr="00280742">
              <w:rPr>
                <w:color w:val="000000"/>
              </w:rPr>
              <w:t>Leprechaunism </w:t>
            </w:r>
          </w:p>
          <w:p w:rsidR="00227F96" w:rsidRPr="00280742" w:rsidRDefault="00B629E3">
            <w:pPr>
              <w:pStyle w:val="a6"/>
            </w:pPr>
            <w:r w:rsidRPr="00280742">
              <w:rPr>
                <w:color w:val="000000"/>
              </w:rPr>
              <w:t>Rabson-Mendenhall syndrome </w:t>
            </w:r>
          </w:p>
        </w:tc>
        <w:tc>
          <w:tcPr>
            <w:tcW w:w="4884"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rsidR="00227F96" w:rsidRPr="00280742" w:rsidRDefault="00B629E3">
            <w:pPr>
              <w:pStyle w:val="a6"/>
            </w:pPr>
            <w:r w:rsidRPr="00280742">
              <w:rPr>
                <w:color w:val="000000"/>
              </w:rPr>
              <w:t>Features of androgen excess with hyperinsulinemia </w:t>
            </w:r>
          </w:p>
        </w:tc>
      </w:tr>
    </w:tbl>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4069715" cy="2289175"/>
            <wp:effectExtent l="0" t="0" r="6985" b="15875"/>
            <wp:docPr id="12"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4"/>
                    <pic:cNvPicPr>
                      <a:picLocks noGrp="1" noChangeAspect="1"/>
                    </pic:cNvPicPr>
                  </pic:nvPicPr>
                  <pic:blipFill>
                    <a:blip r:embed="rId16"/>
                    <a:stretch>
                      <a:fillRect/>
                    </a:stretch>
                  </pic:blipFill>
                  <pic:spPr>
                    <a:xfrm>
                      <a:off x="0" y="0"/>
                      <a:ext cx="4069715" cy="2289175"/>
                    </a:xfrm>
                    <a:prstGeom prst="rect">
                      <a:avLst/>
                    </a:prstGeom>
                  </pic:spPr>
                </pic:pic>
              </a:graphicData>
            </a:graphic>
          </wp:inline>
        </w:drawing>
      </w:r>
    </w:p>
    <w:p w:rsidR="00227F96" w:rsidRPr="00280742" w:rsidRDefault="00227F96">
      <w:pPr>
        <w:rPr>
          <w:rFonts w:ascii="Times New Roman" w:hAnsi="Times New Roman" w:cs="Times New Roman"/>
          <w:sz w:val="24"/>
          <w:szCs w:val="24"/>
        </w:rPr>
      </w:pPr>
    </w:p>
    <w:p w:rsidR="00227F96" w:rsidRPr="00280742" w:rsidRDefault="00B629E3" w:rsidP="00D244D0">
      <w:pPr>
        <w:jc w:val="center"/>
        <w:outlineLvl w:val="0"/>
        <w:rPr>
          <w:rFonts w:ascii="Times New Roman" w:hAnsi="Times New Roman" w:cs="Times New Roman"/>
          <w:sz w:val="24"/>
          <w:szCs w:val="24"/>
        </w:rPr>
      </w:pPr>
      <w:r w:rsidRPr="00280742">
        <w:rPr>
          <w:rFonts w:ascii="Times New Roman" w:hAnsi="Times New Roman" w:cs="Times New Roman"/>
          <w:sz w:val="24"/>
          <w:szCs w:val="24"/>
        </w:rPr>
        <w:lastRenderedPageBreak/>
        <w:t xml:space="preserve">FIG </w:t>
      </w:r>
      <w:r>
        <w:rPr>
          <w:rFonts w:ascii="Times New Roman" w:hAnsi="Times New Roman" w:cs="Times New Roman"/>
          <w:sz w:val="24"/>
          <w:szCs w:val="24"/>
        </w:rPr>
        <w:t>7</w:t>
      </w:r>
      <w:r w:rsidRPr="00280742">
        <w:rPr>
          <w:rFonts w:ascii="Times New Roman" w:hAnsi="Times New Roman" w:cs="Times New Roman"/>
          <w:sz w:val="24"/>
          <w:szCs w:val="24"/>
          <w:vertAlign w:val="superscript"/>
        </w:rPr>
        <w:t>10</w:t>
      </w:r>
      <w:r w:rsidRPr="00280742">
        <w:rPr>
          <w:rFonts w:ascii="Times New Roman" w:hAnsi="Times New Roman" w:cs="Times New Roman"/>
          <w:sz w:val="24"/>
          <w:szCs w:val="24"/>
        </w:rPr>
        <w:t xml:space="preserve"> MUTATONS IN INSULIN RECEPTOR</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3397250" cy="1911350"/>
            <wp:effectExtent l="0" t="0" r="12700" b="1270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077"/>
                    <a:stretch>
                      <a:fillRect/>
                    </a:stretch>
                  </pic:blipFill>
                  <pic:spPr>
                    <a:xfrm>
                      <a:off x="0" y="0"/>
                      <a:ext cx="3397250" cy="1911350"/>
                    </a:xfrm>
                    <a:prstGeom prst="rect">
                      <a:avLst/>
                    </a:prstGeom>
                  </pic:spPr>
                </pic:pic>
              </a:graphicData>
            </a:graphic>
          </wp:inline>
        </w:drawing>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jc w:val="center"/>
        <w:outlineLvl w:val="0"/>
        <w:rPr>
          <w:rFonts w:ascii="Times New Roman" w:hAnsi="Times New Roman" w:cs="Times New Roman"/>
          <w:sz w:val="24"/>
          <w:szCs w:val="24"/>
        </w:rPr>
      </w:pPr>
      <w:r w:rsidRPr="00280742">
        <w:rPr>
          <w:rFonts w:ascii="Times New Roman" w:hAnsi="Times New Roman" w:cs="Times New Roman"/>
          <w:sz w:val="24"/>
          <w:szCs w:val="24"/>
        </w:rPr>
        <w:t xml:space="preserve">FIG </w:t>
      </w:r>
      <w:r>
        <w:rPr>
          <w:rFonts w:ascii="Times New Roman" w:hAnsi="Times New Roman" w:cs="Times New Roman"/>
          <w:sz w:val="24"/>
          <w:szCs w:val="24"/>
        </w:rPr>
        <w:t>8</w:t>
      </w:r>
      <w:r w:rsidRPr="00280742">
        <w:rPr>
          <w:rFonts w:ascii="Times New Roman" w:hAnsi="Times New Roman" w:cs="Times New Roman"/>
          <w:sz w:val="24"/>
          <w:szCs w:val="24"/>
          <w:vertAlign w:val="superscript"/>
        </w:rPr>
        <w:t>11</w:t>
      </w:r>
      <w:r w:rsidRPr="00280742">
        <w:rPr>
          <w:rFonts w:ascii="Times New Roman" w:hAnsi="Times New Roman" w:cs="Times New Roman"/>
          <w:sz w:val="24"/>
          <w:szCs w:val="24"/>
        </w:rPr>
        <w:t xml:space="preserve">  RELEASE OF INSULIN</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commentRangeStart w:id="9"/>
      <w:r w:rsidRPr="00280742">
        <w:rPr>
          <w:rFonts w:ascii="Times New Roman" w:hAnsi="Times New Roman" w:cs="Times New Roman"/>
          <w:sz w:val="24"/>
          <w:szCs w:val="24"/>
        </w:rPr>
        <w:t>CLINICAL</w:t>
      </w:r>
      <w:commentRangeEnd w:id="9"/>
      <w:r w:rsidR="00C63BEF">
        <w:rPr>
          <w:rStyle w:val="ab"/>
        </w:rPr>
        <w:commentReference w:id="9"/>
      </w:r>
      <w:r w:rsidRPr="00280742">
        <w:rPr>
          <w:rFonts w:ascii="Times New Roman" w:hAnsi="Times New Roman" w:cs="Times New Roman"/>
          <w:sz w:val="24"/>
          <w:szCs w:val="24"/>
        </w:rPr>
        <w:t xml:space="preserve"> PRESENTATION AND DIAGNOSIS OF NEONATAL DIABETES MELLITUS</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Neonatal DM in the immediate newborn period is usually diagnosed incidentally.Hyperglycemia is more common and this usually resolves once the underlying disease process is treated. Differentiating this stress hyperglycemia from that of neonatal DM is challenging. Wait for the resolution of the underlying diseases process and the C peptide levels may give some useful information. Neonatal DM can present as diabetic ketoacidosis with classical features of acidosis with hyperglycemia especially in KCNJ11 mutations</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It is not uncommon to misinterpret this acidosis as sepsis related lactic acidosis and delay the management of DM. In older infants, beyond 6 months of age, history of polyuria and polydipsia may be elicitable and a diagnosis of type 1 diabetes may be considered. This is usually confounded by presence of insulin autoantibody like the glutamic acid decarboxylase (GAD) antibody.Autoimmune etiology is less common in infants, all infants with diabetes should be carefully examined for any syndromic features, should undergo genetic evaluation for monogenic diabetes.</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Confirmation of blood glucose more than once is mandatory to diagnose NDM.Anthropometry, dysmorphic features, features of androgen excess, evidence of bony abnormalities, features of hypothyroidism and a detailed developmental assessment. Serum C-peptide levels, HbA1c, thyroid function tests, serum uric acid, serum ammonia levels, ultrasonogram of the abdomen and genetic studies. Genetic studies are mandatory in all infants less than one year of age. Evaluate all children with onset at less than 2.5 years of age with history of liver failure for WRS.</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Management of Neonatal Diabetes Mellitus</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The specific management includes insulin therapy and in genetic mutations responsive to oral sulfonylurea oral medications are used. The inconsistent feeding pattern and the requirement of insulin in very small doses pose difficulty in day to day management. However, if the requirement is very low, once or twice a day dose of intermediate acting insulin may be useful.Insulin pumps have been successfully used in neonatal DM as early as the first month of life.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In case of requirement of insulin being less than 0.5 units/dose it is ideal to use the insulin diluent.Caution must be provided as accidental overdose of insulin can be hazardous. Some infants may be very sensitive and develop rapid hypoglycemia with rapid or short acting insulin.</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 Analog insulin like Glargine has been successfully used in extremely low birth weight neonates with DM</w:t>
      </w: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Switching over to Oral Drugs</w:t>
      </w:r>
    </w:p>
    <w:p w:rsidR="00227F96" w:rsidRPr="00280742" w:rsidRDefault="00227F96">
      <w:pPr>
        <w:rPr>
          <w:rFonts w:ascii="Times New Roman" w:hAnsi="Times New Roman" w:cs="Times New Roman"/>
          <w:sz w:val="24"/>
          <w:szCs w:val="24"/>
        </w:rPr>
      </w:pPr>
    </w:p>
    <w:tbl>
      <w:tblPr>
        <w:tblW w:w="8280" w:type="dxa"/>
        <w:tblCellMar>
          <w:left w:w="0" w:type="dxa"/>
          <w:right w:w="0" w:type="dxa"/>
        </w:tblCellMar>
        <w:tblLook w:val="04A0"/>
      </w:tblPr>
      <w:tblGrid>
        <w:gridCol w:w="4115"/>
        <w:gridCol w:w="4479"/>
      </w:tblGrid>
      <w:tr w:rsidR="00227F96" w:rsidRPr="00280742">
        <w:trPr>
          <w:trHeight w:val="2540"/>
        </w:trPr>
        <w:tc>
          <w:tcPr>
            <w:tcW w:w="4140" w:type="dxa"/>
            <w:tcBorders>
              <w:top w:val="single" w:sz="6" w:space="0" w:color="FFFFFF"/>
              <w:left w:val="single" w:sz="6" w:space="0" w:color="FFFFFF"/>
              <w:bottom w:val="single" w:sz="18" w:space="0" w:color="FFFFFF"/>
              <w:right w:val="single" w:sz="6" w:space="0" w:color="FFFFFF"/>
            </w:tcBorders>
            <w:shd w:val="clear" w:color="auto" w:fill="B71E42"/>
            <w:tcMar>
              <w:top w:w="72" w:type="dxa"/>
              <w:left w:w="144" w:type="dxa"/>
              <w:bottom w:w="72" w:type="dxa"/>
              <w:right w:w="144" w:type="dxa"/>
            </w:tcMar>
          </w:tcPr>
          <w:p w:rsidR="00227F96" w:rsidRPr="00280742" w:rsidRDefault="00227F96">
            <w:pPr>
              <w:pStyle w:val="a6"/>
            </w:pPr>
          </w:p>
          <w:p w:rsidR="00227F96" w:rsidRPr="00280742" w:rsidRDefault="00227F96">
            <w:pPr>
              <w:pStyle w:val="a6"/>
            </w:pPr>
          </w:p>
          <w:p w:rsidR="00227F96" w:rsidRPr="00280742" w:rsidRDefault="00B629E3">
            <w:pPr>
              <w:pStyle w:val="a6"/>
            </w:pPr>
            <w:r w:rsidRPr="00280742">
              <w:rPr>
                <w:b/>
                <w:bCs/>
                <w:color w:val="FFFFFF"/>
              </w:rPr>
              <w:t>   Slow out-patient switch protocol (in OPD)</w:t>
            </w:r>
          </w:p>
        </w:tc>
        <w:tc>
          <w:tcPr>
            <w:tcW w:w="4140" w:type="dxa"/>
            <w:tcBorders>
              <w:top w:val="single" w:sz="6" w:space="0" w:color="FFFFFF"/>
              <w:left w:val="single" w:sz="6" w:space="0" w:color="FFFFFF"/>
              <w:bottom w:val="single" w:sz="18" w:space="0" w:color="FFFFFF"/>
              <w:right w:val="single" w:sz="6" w:space="0" w:color="FFFFFF"/>
            </w:tcBorders>
            <w:shd w:val="clear" w:color="auto" w:fill="B71E42"/>
            <w:tcMar>
              <w:top w:w="72" w:type="dxa"/>
              <w:left w:w="144" w:type="dxa"/>
              <w:bottom w:w="72" w:type="dxa"/>
              <w:right w:w="144" w:type="dxa"/>
            </w:tcMar>
          </w:tcPr>
          <w:p w:rsidR="00227F96" w:rsidRPr="00280742" w:rsidRDefault="00227F96">
            <w:pPr>
              <w:pStyle w:val="a6"/>
            </w:pPr>
          </w:p>
          <w:p w:rsidR="00227F96" w:rsidRPr="00280742" w:rsidRDefault="00227F96">
            <w:pPr>
              <w:pStyle w:val="a6"/>
            </w:pPr>
          </w:p>
          <w:p w:rsidR="00227F96" w:rsidRPr="00280742" w:rsidRDefault="00B629E3">
            <w:pPr>
              <w:pStyle w:val="a6"/>
            </w:pPr>
            <w:r w:rsidRPr="00280742">
              <w:rPr>
                <w:b/>
                <w:bCs/>
                <w:color w:val="FFFFFF"/>
              </w:rPr>
              <w:t>    Rapid out-patient switch protocol (in IPD)</w:t>
            </w:r>
          </w:p>
        </w:tc>
      </w:tr>
      <w:tr w:rsidR="00227F96" w:rsidRPr="00280742">
        <w:trPr>
          <w:trHeight w:val="2540"/>
        </w:trPr>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rsidR="00227F96" w:rsidRPr="00280742" w:rsidRDefault="00B629E3">
            <w:pPr>
              <w:pStyle w:val="a6"/>
            </w:pPr>
            <w:r w:rsidRPr="00280742">
              <w:rPr>
                <w:color w:val="000000"/>
              </w:rPr>
              <w:lastRenderedPageBreak/>
              <w:t>Height, weight and complete neurological examination to be documented prior to switch</w:t>
            </w:r>
          </w:p>
        </w:tc>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rsidR="00227F96" w:rsidRPr="00280742" w:rsidRDefault="00B629E3">
            <w:pPr>
              <w:pStyle w:val="a6"/>
            </w:pPr>
            <w:r w:rsidRPr="00280742">
              <w:rPr>
                <w:color w:val="000000"/>
              </w:rPr>
              <w:t>Height, weight and complete neurological examination to be documented prior to switch</w:t>
            </w:r>
          </w:p>
        </w:tc>
      </w:tr>
      <w:tr w:rsidR="00227F96" w:rsidRPr="00280742">
        <w:trPr>
          <w:trHeight w:val="3980"/>
        </w:trPr>
        <w:tc>
          <w:tcPr>
            <w:tcW w:w="4140" w:type="dxa"/>
            <w:tcBorders>
              <w:top w:val="single" w:sz="6" w:space="0" w:color="FFFFFF"/>
              <w:left w:val="single" w:sz="6" w:space="0" w:color="FFFFFF"/>
              <w:bottom w:val="single" w:sz="18" w:space="0" w:color="FFFFFF"/>
              <w:right w:val="single" w:sz="6" w:space="0" w:color="FFFFFF"/>
            </w:tcBorders>
            <w:shd w:val="clear" w:color="auto" w:fill="F3E7E9"/>
            <w:tcMar>
              <w:top w:w="72" w:type="dxa"/>
              <w:left w:w="144" w:type="dxa"/>
              <w:bottom w:w="72" w:type="dxa"/>
              <w:right w:w="144" w:type="dxa"/>
            </w:tcMar>
          </w:tcPr>
          <w:p w:rsidR="00227F96" w:rsidRPr="00280742" w:rsidRDefault="00B629E3">
            <w:pPr>
              <w:pStyle w:val="a6"/>
            </w:pPr>
            <w:r w:rsidRPr="00280742">
              <w:rPr>
                <w:color w:val="000000"/>
              </w:rPr>
              <w:t>Day 1: Fasting HbA1c, C peptide levels. Give 0.1 mg/kg/dose of oral glibenclamide with breakfast. Continue evening dose with insulin, if blood glucose is more than 126 mg/dL</w:t>
            </w:r>
          </w:p>
        </w:tc>
        <w:tc>
          <w:tcPr>
            <w:tcW w:w="4140" w:type="dxa"/>
            <w:tcBorders>
              <w:top w:val="single" w:sz="6" w:space="0" w:color="FFFFFF"/>
              <w:left w:val="single" w:sz="6" w:space="0" w:color="FFFFFF"/>
              <w:bottom w:val="single" w:sz="18" w:space="0" w:color="FFFFFF"/>
              <w:right w:val="single" w:sz="6" w:space="0" w:color="FFFFFF"/>
            </w:tcBorders>
            <w:shd w:val="clear" w:color="auto" w:fill="F3E7E9"/>
            <w:tcMar>
              <w:top w:w="72" w:type="dxa"/>
              <w:left w:w="144" w:type="dxa"/>
              <w:bottom w:w="72" w:type="dxa"/>
              <w:right w:w="144" w:type="dxa"/>
            </w:tcMar>
          </w:tcPr>
          <w:p w:rsidR="00227F96" w:rsidRPr="00280742" w:rsidRDefault="00B629E3">
            <w:pPr>
              <w:pStyle w:val="a6"/>
            </w:pPr>
            <w:r w:rsidRPr="00280742">
              <w:rPr>
                <w:color w:val="000000"/>
              </w:rPr>
              <w:t>Day 1: Fasting HbA1c, C peptide levels. Give 0.1 mg/kg/dose of oral glibenclamide with breakfast. Continue evening dose with insulin, if blood glucose is more than 126 mg/dL</w:t>
            </w:r>
          </w:p>
        </w:tc>
      </w:tr>
      <w:tr w:rsidR="00227F96" w:rsidRPr="00280742">
        <w:trPr>
          <w:trHeight w:val="4940"/>
        </w:trPr>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rsidR="00227F96" w:rsidRPr="00280742" w:rsidRDefault="00B629E3">
            <w:pPr>
              <w:pStyle w:val="a6"/>
            </w:pPr>
            <w:r w:rsidRPr="00280742">
              <w:rPr>
                <w:color w:val="000000"/>
              </w:rPr>
              <w:t>Reduce the insulin slowly keeping the sulfonylurea constant for 1 week</w:t>
            </w:r>
          </w:p>
        </w:tc>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rsidR="00227F96" w:rsidRPr="00280742" w:rsidRDefault="00B629E3">
            <w:pPr>
              <w:pStyle w:val="a6"/>
            </w:pPr>
            <w:r w:rsidRPr="00280742">
              <w:rPr>
                <w:color w:val="000000"/>
              </w:rPr>
              <w:t>Day 2: Omit the isophane insulin and continue only short or rapid acting insulin throughout therapy. Oral sulfonylurea is increased to 0.2 mg/kg/dose given twice daily and reduce insulin by 50%</w:t>
            </w:r>
          </w:p>
        </w:tc>
      </w:tr>
    </w:tbl>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lastRenderedPageBreak/>
        <w:drawing>
          <wp:inline distT="0" distB="0" distL="114300" distR="114300">
            <wp:extent cx="5577840" cy="3644265"/>
            <wp:effectExtent l="0" t="0" r="3810" b="133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8"/>
                    <a:stretch>
                      <a:fillRect/>
                    </a:stretch>
                  </pic:blipFill>
                  <pic:spPr>
                    <a:xfrm>
                      <a:off x="0" y="0"/>
                      <a:ext cx="5577840" cy="3644265"/>
                    </a:xfrm>
                    <a:prstGeom prst="rect">
                      <a:avLst/>
                    </a:prstGeom>
                    <a:noFill/>
                    <a:ln>
                      <a:noFill/>
                    </a:ln>
                  </pic:spPr>
                </pic:pic>
              </a:graphicData>
            </a:graphic>
          </wp:inline>
        </w:drawing>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lang w:eastAsia="en-US"/>
        </w:rPr>
        <w:drawing>
          <wp:inline distT="0" distB="0" distL="114300" distR="114300">
            <wp:extent cx="5699125" cy="3206115"/>
            <wp:effectExtent l="0" t="0" r="15875" b="13335"/>
            <wp:docPr id="16"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Content Placeholder 4"/>
                    <pic:cNvPicPr>
                      <a:picLocks noGrp="1" noChangeAspect="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99125" cy="3206115"/>
                    </a:xfrm>
                    <a:prstGeom prst="rect">
                      <a:avLst/>
                    </a:prstGeom>
                  </pic:spPr>
                </pic:pic>
              </a:graphicData>
            </a:graphic>
          </wp:inline>
        </w:drawing>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B629E3" w:rsidP="00D244D0">
      <w:pPr>
        <w:outlineLvl w:val="0"/>
        <w:rPr>
          <w:rFonts w:ascii="Times New Roman" w:eastAsia="SimSun" w:hAnsi="Times New Roman" w:cs="Times New Roman"/>
          <w:sz w:val="24"/>
          <w:szCs w:val="24"/>
        </w:rPr>
      </w:pPr>
      <w:r w:rsidRPr="00280742">
        <w:rPr>
          <w:rFonts w:ascii="Times New Roman" w:hAnsi="Times New Roman" w:cs="Times New Roman"/>
          <w:sz w:val="24"/>
          <w:szCs w:val="24"/>
        </w:rPr>
        <w:t xml:space="preserve">FIG </w:t>
      </w:r>
      <w:r>
        <w:rPr>
          <w:rFonts w:ascii="Times New Roman" w:hAnsi="Times New Roman" w:cs="Times New Roman"/>
          <w:sz w:val="24"/>
          <w:szCs w:val="24"/>
        </w:rPr>
        <w:t>9</w:t>
      </w:r>
      <w:r w:rsidRPr="00280742">
        <w:rPr>
          <w:rFonts w:ascii="Times New Roman" w:hAnsi="Times New Roman" w:cs="Times New Roman"/>
          <w:sz w:val="24"/>
          <w:szCs w:val="24"/>
          <w:vertAlign w:val="superscript"/>
        </w:rPr>
        <w:t>12</w:t>
      </w:r>
      <w:r w:rsidRPr="00280742">
        <w:rPr>
          <w:rFonts w:ascii="Times New Roman" w:eastAsia="SimSun" w:hAnsi="Times New Roman" w:cs="Times New Roman"/>
          <w:sz w:val="24"/>
          <w:szCs w:val="24"/>
        </w:rPr>
        <w:t>Clinical and genetic approach of non-syndromic neonatal diabetes </w:t>
      </w:r>
    </w:p>
    <w:p w:rsidR="00227F96" w:rsidRPr="00280742" w:rsidRDefault="00227F96">
      <w:pPr>
        <w:rPr>
          <w:rFonts w:ascii="Times New Roman" w:eastAsia="SimSun" w:hAnsi="Times New Roman" w:cs="Times New Roman"/>
          <w:sz w:val="24"/>
          <w:szCs w:val="24"/>
        </w:rPr>
      </w:pPr>
    </w:p>
    <w:p w:rsidR="00227F96" w:rsidRPr="00280742" w:rsidRDefault="00227F96">
      <w:pPr>
        <w:rPr>
          <w:rFonts w:ascii="Times New Roman" w:eastAsia="SimSun" w:hAnsi="Times New Roman" w:cs="Times New Roman"/>
          <w:sz w:val="24"/>
          <w:szCs w:val="24"/>
        </w:rPr>
      </w:pPr>
    </w:p>
    <w:p w:rsidR="00227F96" w:rsidRPr="00280742" w:rsidRDefault="00B629E3" w:rsidP="00D244D0">
      <w:pPr>
        <w:outlineLvl w:val="0"/>
        <w:rPr>
          <w:rFonts w:ascii="Times New Roman" w:hAnsi="Times New Roman" w:cs="Times New Roman"/>
          <w:sz w:val="24"/>
          <w:szCs w:val="24"/>
        </w:rPr>
      </w:pPr>
      <w:r w:rsidRPr="00280742">
        <w:rPr>
          <w:rFonts w:ascii="Times New Roman" w:hAnsi="Times New Roman" w:cs="Times New Roman"/>
          <w:sz w:val="24"/>
          <w:szCs w:val="24"/>
        </w:rPr>
        <w:t>PROGNOSIS AND LONG-TERM OUTCOME</w:t>
      </w:r>
    </w:p>
    <w:p w:rsidR="00227F96" w:rsidRPr="00280742" w:rsidRDefault="00227F96">
      <w:pPr>
        <w:rPr>
          <w:rFonts w:ascii="Times New Roman" w:hAnsi="Times New Roman" w:cs="Times New Roman"/>
          <w:sz w:val="24"/>
          <w:szCs w:val="24"/>
        </w:rPr>
      </w:pP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Neonatal diabetes is very different from other forms of diabetes in that the course of disease is variable. In some infants it is transient, in some it remits after varying periods of insulin dependency only to recur later in life In some infants it continues to be permanent DM. Outcome in the immediate neonatal period depends on the presentation, severity of dehydration and acidosis and how early it is recognized and treated appropriately. In the post neonatal period the prognosis is determined by associated conditions like neurological involvement or hepatic involvementThough it resolves in a few weeks, transient neonatal diabetes can later lead to diabetes over the years. Some of these genetic mutations predispose the pregnant mother who had TNDM in the past to develop DM during pregnancy. Hence, the infants with TNDM need to be followed up for relapse later.Some of the PNDM may require replacement therapy for the exocrine functions of the pancreas as well. </w:t>
      </w:r>
    </w:p>
    <w:p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Finally, the level of metabolic control determines the timing of appearance of the long-term complications like any other diabetes. </w:t>
      </w:r>
    </w:p>
    <w:p w:rsidR="00227F96" w:rsidRPr="00280742" w:rsidRDefault="00227F96">
      <w:pPr>
        <w:spacing w:line="360" w:lineRule="auto"/>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B629E3" w:rsidP="00D244D0">
      <w:pPr>
        <w:spacing w:line="360" w:lineRule="auto"/>
        <w:outlineLvl w:val="0"/>
        <w:rPr>
          <w:rFonts w:ascii="Times New Roman" w:hAnsi="Times New Roman" w:cs="Times New Roman"/>
          <w:sz w:val="24"/>
          <w:szCs w:val="24"/>
        </w:rPr>
      </w:pPr>
      <w:commentRangeStart w:id="10"/>
      <w:r w:rsidRPr="00280742">
        <w:rPr>
          <w:rFonts w:ascii="Times New Roman" w:hAnsi="Times New Roman" w:cs="Times New Roman"/>
          <w:sz w:val="24"/>
          <w:szCs w:val="24"/>
        </w:rPr>
        <w:t>REFERENCES</w:t>
      </w:r>
      <w:commentRangeEnd w:id="10"/>
      <w:r w:rsidR="006371AB">
        <w:rPr>
          <w:rStyle w:val="ab"/>
        </w:rPr>
        <w:commentReference w:id="10"/>
      </w:r>
    </w:p>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1.</w:t>
      </w:r>
      <w:r w:rsidRPr="00280742">
        <w:rPr>
          <w:rFonts w:ascii="Times New Roman" w:eastAsia="Cambria" w:hAnsi="Times New Roman" w:cs="Times New Roman"/>
          <w:i/>
          <w:iCs/>
          <w:color w:val="000000"/>
          <w:sz w:val="24"/>
          <w:szCs w:val="24"/>
        </w:rPr>
        <w:t xml:space="preserve">Pondicherry Journal of Nursing Vol 10 Issue 3 Sep – Dec 2017 </w:t>
      </w:r>
      <w:r w:rsidRPr="00280742">
        <w:rPr>
          <w:rFonts w:ascii="Times New Roman" w:eastAsia="Cambria" w:hAnsi="Times New Roman" w:cs="Times New Roman"/>
          <w:b/>
          <w:bCs/>
          <w:i/>
          <w:iCs/>
          <w:color w:val="000000"/>
          <w:sz w:val="24"/>
          <w:szCs w:val="24"/>
        </w:rPr>
        <w:t>TYPES OF DIABETES  *P.Rajalakshmy</w:t>
      </w:r>
    </w:p>
    <w:p w:rsidR="00227F96" w:rsidRPr="00280742" w:rsidRDefault="00B629E3">
      <w:pPr>
        <w:spacing w:beforeAutospacing="1" w:afterAutospacing="1"/>
        <w:rPr>
          <w:rFonts w:ascii="Times New Roman" w:hAnsi="Times New Roman" w:cs="Times New Roman"/>
          <w:sz w:val="24"/>
          <w:szCs w:val="24"/>
        </w:rPr>
      </w:pPr>
      <w:r w:rsidRPr="00280742">
        <w:rPr>
          <w:rFonts w:ascii="Times New Roman" w:hAnsi="Times New Roman" w:cs="Times New Roman"/>
          <w:sz w:val="24"/>
          <w:szCs w:val="24"/>
        </w:rPr>
        <w:t xml:space="preserve">2.Raffelia Buzzetti </w:t>
      </w:r>
      <w:hyperlink r:id="rId20" w:anchor="auth-Simona-Zampetti-Aff1" w:history="1">
        <w:r w:rsidR="00227F96" w:rsidRPr="00280742">
          <w:rPr>
            <w:rStyle w:val="Hyperlink"/>
            <w:rFonts w:ascii="Times New Roman" w:hAnsi="Times New Roman" w:cs="Times New Roman"/>
            <w:sz w:val="24"/>
            <w:szCs w:val="24"/>
          </w:rPr>
          <w:t>Simona Zampetti</w:t>
        </w:r>
      </w:hyperlink>
      <w:r w:rsidRPr="00280742">
        <w:rPr>
          <w:rFonts w:ascii="Times New Roman" w:hAnsi="Times New Roman" w:cs="Times New Roman"/>
          <w:sz w:val="24"/>
          <w:szCs w:val="24"/>
        </w:rPr>
        <w:t>&amp;</w:t>
      </w:r>
      <w:hyperlink r:id="rId21" w:anchor="auth-Ernesto-Maddaloni-Aff2" w:history="1">
        <w:r w:rsidR="00227F96" w:rsidRPr="00280742">
          <w:rPr>
            <w:rStyle w:val="Hyperlink"/>
            <w:rFonts w:ascii="Times New Roman" w:hAnsi="Times New Roman" w:cs="Times New Roman"/>
            <w:sz w:val="24"/>
            <w:szCs w:val="24"/>
          </w:rPr>
          <w:t>Ernesto Maddaloni</w:t>
        </w:r>
      </w:hyperlink>
      <w:r w:rsidRPr="00280742">
        <w:rPr>
          <w:rFonts w:ascii="Times New Roman" w:hAnsi="Times New Roman" w:cs="Times New Roman"/>
          <w:sz w:val="24"/>
          <w:szCs w:val="24"/>
        </w:rPr>
        <w:t> </w:t>
      </w:r>
      <w:hyperlink r:id="rId22" w:history="1">
        <w:r w:rsidR="00227F96" w:rsidRPr="00280742">
          <w:rPr>
            <w:rStyle w:val="Hyperlink"/>
            <w:rFonts w:ascii="Times New Roman" w:hAnsi="Times New Roman" w:cs="Times New Roman"/>
            <w:i/>
            <w:iCs/>
            <w:sz w:val="24"/>
            <w:szCs w:val="24"/>
          </w:rPr>
          <w:t>Nature Reviews Endocrinology</w:t>
        </w:r>
      </w:hyperlink>
      <w:r w:rsidRPr="00280742">
        <w:rPr>
          <w:rFonts w:ascii="Times New Roman" w:hAnsi="Times New Roman" w:cs="Times New Roman"/>
          <w:b/>
          <w:bCs/>
          <w:sz w:val="24"/>
          <w:szCs w:val="24"/>
        </w:rPr>
        <w:t>volume 13</w:t>
      </w:r>
      <w:r w:rsidRPr="00280742">
        <w:rPr>
          <w:rFonts w:ascii="Times New Roman" w:hAnsi="Times New Roman" w:cs="Times New Roman"/>
          <w:sz w:val="24"/>
          <w:szCs w:val="24"/>
        </w:rPr>
        <w:t>, pages 674–686 (2017)</w:t>
      </w:r>
    </w:p>
    <w:p w:rsidR="00227F96" w:rsidRPr="00280742" w:rsidRDefault="00B629E3" w:rsidP="00D244D0">
      <w:pPr>
        <w:pStyle w:val="1"/>
        <w:rPr>
          <w:rFonts w:ascii="Times New Roman" w:hAnsi="Times New Roman" w:hint="default"/>
          <w:sz w:val="24"/>
          <w:szCs w:val="24"/>
        </w:rPr>
      </w:pPr>
      <w:r w:rsidRPr="00280742">
        <w:rPr>
          <w:rFonts w:ascii="Times New Roman" w:hAnsi="Times New Roman" w:hint="default"/>
          <w:sz w:val="24"/>
          <w:szCs w:val="24"/>
        </w:rPr>
        <w:t>3.Maturity onset diabetes of the young: diagnosis and treatment options</w:t>
      </w:r>
      <w:hyperlink r:id="rId23" w:history="1">
        <w:r w:rsidR="00227F96" w:rsidRPr="00280742">
          <w:rPr>
            <w:rStyle w:val="Hyperlink"/>
            <w:rFonts w:ascii="Times New Roman" w:hAnsi="Times New Roman" w:hint="default"/>
            <w:sz w:val="24"/>
            <w:szCs w:val="24"/>
          </w:rPr>
          <w:t>S. Covantev</w:t>
        </w:r>
      </w:hyperlink>
      <w:r w:rsidRPr="00280742">
        <w:rPr>
          <w:rFonts w:ascii="Times New Roman" w:hAnsi="Times New Roman" w:hint="default"/>
          <w:sz w:val="24"/>
          <w:szCs w:val="24"/>
        </w:rPr>
        <w:t xml:space="preserve">, </w:t>
      </w:r>
      <w:hyperlink r:id="rId24" w:history="1">
        <w:r w:rsidR="00227F96" w:rsidRPr="00280742">
          <w:rPr>
            <w:rStyle w:val="Hyperlink"/>
            <w:rFonts w:ascii="Times New Roman" w:hAnsi="Times New Roman" w:hint="default"/>
            <w:sz w:val="24"/>
            <w:szCs w:val="24"/>
          </w:rPr>
          <w:t>A. Chiriac</w:t>
        </w:r>
      </w:hyperlink>
      <w:r w:rsidRPr="00280742">
        <w:rPr>
          <w:rFonts w:ascii="Times New Roman" w:hAnsi="Times New Roman" w:hint="default"/>
          <w:sz w:val="24"/>
          <w:szCs w:val="24"/>
        </w:rPr>
        <w:t xml:space="preserve">, </w:t>
      </w:r>
      <w:hyperlink r:id="rId25" w:history="1">
        <w:r w:rsidR="00227F96" w:rsidRPr="00280742">
          <w:rPr>
            <w:rStyle w:val="Hyperlink"/>
            <w:rFonts w:ascii="Times New Roman" w:hAnsi="Times New Roman" w:hint="default"/>
            <w:sz w:val="24"/>
            <w:szCs w:val="24"/>
          </w:rPr>
          <w:t>Ludmila Perciuleac</w:t>
        </w:r>
      </w:hyperlink>
      <w:r w:rsidRPr="00280742">
        <w:rPr>
          <w:rFonts w:ascii="Times New Roman" w:hAnsi="Times New Roman" w:hint="default"/>
          <w:sz w:val="24"/>
          <w:szCs w:val="24"/>
        </w:rPr>
        <w:t xml:space="preserve">, </w:t>
      </w:r>
      <w:hyperlink r:id="rId26" w:history="1">
        <w:r w:rsidR="00227F96" w:rsidRPr="00280742">
          <w:rPr>
            <w:rStyle w:val="Hyperlink"/>
            <w:rFonts w:ascii="Times New Roman" w:hAnsi="Times New Roman" w:hint="default"/>
            <w:sz w:val="24"/>
            <w:szCs w:val="24"/>
          </w:rPr>
          <w:t>V. Zozina</w:t>
        </w:r>
      </w:hyperlink>
      <w:r w:rsidRPr="00280742">
        <w:rPr>
          <w:rFonts w:ascii="Times New Roman" w:hAnsi="Times New Roman" w:hint="default"/>
          <w:sz w:val="24"/>
          <w:szCs w:val="24"/>
        </w:rPr>
        <w:t xml:space="preserve"> Published 17 December 2016Medicine Russian Open Medical JournaL</w:t>
      </w:r>
    </w:p>
    <w:p w:rsidR="00227F96" w:rsidRPr="00280742" w:rsidRDefault="00B629E3" w:rsidP="00D244D0">
      <w:pPr>
        <w:outlineLvl w:val="0"/>
        <w:rPr>
          <w:rFonts w:ascii="Times New Roman" w:hAnsi="Times New Roman" w:cs="Times New Roman"/>
          <w:sz w:val="24"/>
          <w:szCs w:val="24"/>
        </w:rPr>
      </w:pPr>
      <w:r w:rsidRPr="001E6D7D">
        <w:rPr>
          <w:rFonts w:ascii="Times New Roman" w:hAnsi="Times New Roman" w:cs="Times New Roman"/>
          <w:sz w:val="24"/>
          <w:szCs w:val="24"/>
          <w:lang w:val="nb-NO"/>
        </w:rPr>
        <w:t>4</w:t>
      </w:r>
      <w:r w:rsidRPr="001E6D7D">
        <w:rPr>
          <w:rFonts w:ascii="Times New Roman" w:eastAsia="SimSun" w:hAnsi="Times New Roman" w:cs="Times New Roman"/>
          <w:color w:val="000000"/>
          <w:sz w:val="24"/>
          <w:szCs w:val="24"/>
          <w:lang w:val="nb-NO"/>
        </w:rPr>
        <w:t xml:space="preserve">Fajans SS, Graeme IB, Polonksy KS. </w:t>
      </w:r>
      <w:r w:rsidRPr="00280742">
        <w:rPr>
          <w:rFonts w:ascii="Times New Roman" w:eastAsia="SimSun" w:hAnsi="Times New Roman" w:cs="Times New Roman"/>
          <w:color w:val="000000"/>
          <w:sz w:val="24"/>
          <w:szCs w:val="24"/>
        </w:rPr>
        <w:t>Molecular mechanisms and clin</w:t>
      </w:r>
    </w:p>
    <w:p w:rsidR="00227F96" w:rsidRPr="00280742" w:rsidRDefault="00B629E3">
      <w:pPr>
        <w:rPr>
          <w:rFonts w:ascii="Times New Roman" w:hAnsi="Times New Roman" w:cs="Times New Roman"/>
          <w:sz w:val="24"/>
          <w:szCs w:val="24"/>
        </w:rPr>
      </w:pPr>
      <w:r w:rsidRPr="00280742">
        <w:rPr>
          <w:rFonts w:ascii="Times New Roman" w:eastAsia="SimSun" w:hAnsi="Times New Roman" w:cs="Times New Roman"/>
          <w:color w:val="000000"/>
          <w:sz w:val="24"/>
          <w:szCs w:val="24"/>
        </w:rPr>
        <w:t xml:space="preserve">ical pathophysiology of maturity-onset diabetes of the young. N Engl J </w:t>
      </w:r>
    </w:p>
    <w:p w:rsidR="00227F96" w:rsidRPr="00280742" w:rsidRDefault="00B629E3">
      <w:pPr>
        <w:rPr>
          <w:rFonts w:ascii="Times New Roman" w:hAnsi="Times New Roman" w:cs="Times New Roman"/>
          <w:sz w:val="24"/>
          <w:szCs w:val="24"/>
        </w:rPr>
      </w:pPr>
      <w:r w:rsidRPr="00280742">
        <w:rPr>
          <w:rFonts w:ascii="Times New Roman" w:eastAsia="SimSun" w:hAnsi="Times New Roman" w:cs="Times New Roman"/>
          <w:color w:val="000000"/>
          <w:sz w:val="24"/>
          <w:szCs w:val="24"/>
        </w:rPr>
        <w:t xml:space="preserve">Med. 2001;345:971–80 </w:t>
      </w:r>
    </w:p>
    <w:p w:rsidR="00227F96" w:rsidRPr="00280742" w:rsidRDefault="00B629E3" w:rsidP="00D244D0">
      <w:pPr>
        <w:pStyle w:val="1"/>
        <w:rPr>
          <w:rFonts w:ascii="Times New Roman" w:hAnsi="Times New Roman" w:hint="default"/>
          <w:kern w:val="0"/>
          <w:sz w:val="24"/>
          <w:szCs w:val="24"/>
        </w:rPr>
      </w:pPr>
      <w:r w:rsidRPr="00280742">
        <w:rPr>
          <w:rFonts w:ascii="Times New Roman" w:hAnsi="Times New Roman" w:hint="default"/>
          <w:sz w:val="24"/>
          <w:szCs w:val="24"/>
        </w:rPr>
        <w:t>5 MODY 2 Diabetes: an unusual presentation of diabetesMarch 2016</w:t>
      </w:r>
      <w:hyperlink r:id="rId27" w:history="1">
        <w:r w:rsidR="00227F96" w:rsidRPr="00280742">
          <w:rPr>
            <w:rStyle w:val="Hyperlink"/>
            <w:rFonts w:ascii="Times New Roman" w:hAnsi="Times New Roman" w:hint="default"/>
            <w:sz w:val="24"/>
            <w:szCs w:val="24"/>
          </w:rPr>
          <w:t>Salvador Pertusa-Martínez</w:t>
        </w:r>
      </w:hyperlink>
    </w:p>
    <w:p w:rsidR="00227F96" w:rsidRPr="00280742" w:rsidRDefault="00B629E3" w:rsidP="00D244D0">
      <w:pPr>
        <w:pStyle w:val="1"/>
        <w:rPr>
          <w:rFonts w:ascii="Times New Roman" w:hAnsi="Times New Roman" w:hint="default"/>
          <w:sz w:val="24"/>
          <w:szCs w:val="24"/>
        </w:rPr>
      </w:pPr>
      <w:r w:rsidRPr="00280742">
        <w:rPr>
          <w:rFonts w:ascii="Times New Roman" w:hAnsi="Times New Roman" w:hint="default"/>
          <w:sz w:val="24"/>
          <w:szCs w:val="24"/>
        </w:rPr>
        <w:t xml:space="preserve">6 Genetic Testing of Maturity-Onset Diabetes of the Young Current Status and Future Perspectives May 2018 </w:t>
      </w:r>
      <w:hyperlink r:id="rId28" w:history="1">
        <w:r w:rsidR="00227F96" w:rsidRPr="00280742">
          <w:rPr>
            <w:rStyle w:val="Hyperlink"/>
            <w:rFonts w:ascii="Times New Roman" w:hAnsi="Times New Roman" w:hint="default"/>
            <w:sz w:val="24"/>
            <w:szCs w:val="24"/>
          </w:rPr>
          <w:t>Frontiers in Endocrinology</w:t>
        </w:r>
      </w:hyperlink>
      <w:r w:rsidRPr="00280742">
        <w:rPr>
          <w:rFonts w:ascii="Times New Roman" w:hAnsi="Times New Roman" w:hint="default"/>
          <w:sz w:val="24"/>
          <w:szCs w:val="24"/>
        </w:rPr>
        <w:t xml:space="preserve"> Praveena Firdous et.al</w:t>
      </w:r>
    </w:p>
    <w:p w:rsidR="00227F96" w:rsidRPr="00280742" w:rsidRDefault="00B629E3">
      <w:pPr>
        <w:rPr>
          <w:rFonts w:ascii="Times New Roman" w:eastAsia="SimSun" w:hAnsi="Times New Roman" w:cs="Times New Roman"/>
          <w:sz w:val="24"/>
          <w:szCs w:val="24"/>
        </w:rPr>
      </w:pPr>
      <w:r w:rsidRPr="00280742">
        <w:rPr>
          <w:rFonts w:ascii="Times New Roman" w:hAnsi="Times New Roman" w:cs="Times New Roman"/>
          <w:sz w:val="24"/>
          <w:szCs w:val="24"/>
        </w:rPr>
        <w:lastRenderedPageBreak/>
        <w:t xml:space="preserve">7 </w:t>
      </w:r>
      <w:r w:rsidRPr="00280742">
        <w:rPr>
          <w:rFonts w:ascii="Times New Roman" w:eastAsia="SimSun" w:hAnsi="Times New Roman" w:cs="Times New Roman"/>
          <w:sz w:val="24"/>
          <w:szCs w:val="24"/>
        </w:rPr>
        <w:t xml:space="preserve"> Hattersley A, Bruining J, Shield J, et al. The diagnosis and management of monogenic diabetes in children and adolescents. </w:t>
      </w:r>
      <w:r w:rsidRPr="00280742">
        <w:rPr>
          <w:rStyle w:val="a3"/>
          <w:rFonts w:ascii="Times New Roman" w:eastAsia="SimSun" w:hAnsi="Times New Roman" w:cs="Times New Roman"/>
          <w:sz w:val="24"/>
          <w:szCs w:val="24"/>
        </w:rPr>
        <w:t>Pediatr Diabetes</w:t>
      </w:r>
      <w:r w:rsidRPr="00280742">
        <w:rPr>
          <w:rFonts w:ascii="Times New Roman" w:eastAsia="SimSun" w:hAnsi="Times New Roman" w:cs="Times New Roman"/>
          <w:sz w:val="24"/>
          <w:szCs w:val="24"/>
        </w:rPr>
        <w:t>. 2009;10(suppl 12):33-42.</w:t>
      </w:r>
    </w:p>
    <w:p w:rsidR="00227F96" w:rsidRPr="00280742" w:rsidRDefault="00B629E3">
      <w:pPr>
        <w:rPr>
          <w:rFonts w:ascii="Times New Roman" w:eastAsia="SimSun" w:hAnsi="Times New Roman" w:cs="Times New Roman"/>
          <w:sz w:val="24"/>
          <w:szCs w:val="24"/>
        </w:rPr>
      </w:pPr>
      <w:r w:rsidRPr="00280742">
        <w:rPr>
          <w:rFonts w:ascii="Times New Roman" w:eastAsia="SimSun" w:hAnsi="Times New Roman" w:cs="Times New Roman"/>
          <w:sz w:val="24"/>
          <w:szCs w:val="24"/>
        </w:rPr>
        <w:t>8 The University of Chicago Kovler Diabetes Center. Types of MODY. http://monogenicdiabetes.uchicago.edu/what-is-monogenic-diabetes/mody-maturity-onset-diabetes-of-the-young/types-of-mody. Accessed April 17, 2013.</w:t>
      </w:r>
    </w:p>
    <w:p w:rsidR="00227F96" w:rsidRPr="00280742" w:rsidRDefault="00B629E3">
      <w:pPr>
        <w:rPr>
          <w:rFonts w:ascii="Times New Roman" w:eastAsia="SimSun" w:hAnsi="Times New Roman" w:cs="Times New Roman"/>
          <w:sz w:val="24"/>
          <w:szCs w:val="24"/>
        </w:rPr>
      </w:pPr>
      <w:r w:rsidRPr="00280742">
        <w:rPr>
          <w:rFonts w:ascii="Times New Roman" w:eastAsia="SimSun" w:hAnsi="Times New Roman" w:cs="Times New Roman"/>
          <w:sz w:val="24"/>
          <w:szCs w:val="24"/>
        </w:rPr>
        <w:t xml:space="preserve">9 Vaxillaire M, Froguel P. Monogenic diabetes in the young, pharmacogenetics and relevance to multifactorial forms of type 2 diabetes. </w:t>
      </w:r>
      <w:r w:rsidRPr="00280742">
        <w:rPr>
          <w:rStyle w:val="a3"/>
          <w:rFonts w:ascii="Times New Roman" w:eastAsia="SimSun" w:hAnsi="Times New Roman" w:cs="Times New Roman"/>
          <w:sz w:val="24"/>
          <w:szCs w:val="24"/>
        </w:rPr>
        <w:t>Endocr Rev.</w:t>
      </w:r>
      <w:r w:rsidRPr="00280742">
        <w:rPr>
          <w:rFonts w:ascii="Times New Roman" w:eastAsia="SimSun" w:hAnsi="Times New Roman" w:cs="Times New Roman"/>
          <w:sz w:val="24"/>
          <w:szCs w:val="24"/>
        </w:rPr>
        <w:t>2008;29:254-264.</w:t>
      </w:r>
    </w:p>
    <w:p w:rsidR="00227F96" w:rsidRPr="00280742" w:rsidRDefault="00227F96">
      <w:pPr>
        <w:rPr>
          <w:rFonts w:ascii="Times New Roman" w:hAnsi="Times New Roman" w:cs="Times New Roman"/>
          <w:sz w:val="24"/>
          <w:szCs w:val="24"/>
        </w:rPr>
      </w:pPr>
    </w:p>
    <w:p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10.Secondary Diabetes =, Rssdi Text book of Medicine2015 - Scientific Figure on ResearchGate. Available from: https://www.researchgate.net/figure/Mutations-in-insulin-receptor-gene-and-insulin-resistance_fig1_299436989 [accessed 6 Jun, 2024]</w:t>
      </w:r>
    </w:p>
    <w:p w:rsidR="00227F96" w:rsidRPr="00280742" w:rsidRDefault="00B629E3" w:rsidP="00D244D0">
      <w:pPr>
        <w:pStyle w:val="1"/>
        <w:rPr>
          <w:rFonts w:ascii="Times New Roman" w:hAnsi="Times New Roman" w:hint="default"/>
          <w:kern w:val="0"/>
          <w:sz w:val="24"/>
          <w:szCs w:val="24"/>
        </w:rPr>
      </w:pPr>
      <w:r w:rsidRPr="00280742">
        <w:rPr>
          <w:rFonts w:ascii="Times New Roman" w:hAnsi="Times New Roman" w:hint="default"/>
          <w:sz w:val="24"/>
          <w:szCs w:val="24"/>
        </w:rPr>
        <w:t>11. Many faces of monogenic diabetes March 2014</w:t>
      </w:r>
      <w:hyperlink r:id="rId29" w:history="1">
        <w:r w:rsidR="00227F96" w:rsidRPr="00280742">
          <w:rPr>
            <w:rStyle w:val="Hyperlink"/>
            <w:rFonts w:ascii="Times New Roman" w:hAnsi="Times New Roman" w:hint="default"/>
            <w:sz w:val="24"/>
            <w:szCs w:val="24"/>
          </w:rPr>
          <w:t>Journal of Diabetes Investigation</w:t>
        </w:r>
      </w:hyperlink>
      <w:r w:rsidRPr="00280742">
        <w:rPr>
          <w:rFonts w:ascii="Times New Roman" w:hAnsi="Times New Roman" w:hint="default"/>
          <w:kern w:val="0"/>
          <w:sz w:val="24"/>
          <w:szCs w:val="24"/>
        </w:rPr>
        <w:t xml:space="preserve">5(2):121-133 </w:t>
      </w:r>
      <w:hyperlink r:id="rId30" w:history="1">
        <w:r w:rsidR="00227F96" w:rsidRPr="00280742">
          <w:rPr>
            <w:rStyle w:val="Hyperlink"/>
            <w:rFonts w:ascii="Times New Roman" w:hAnsi="Times New Roman" w:hint="default"/>
            <w:sz w:val="24"/>
            <w:szCs w:val="24"/>
          </w:rPr>
          <w:t>Valerie M Schwitzgebel</w:t>
        </w:r>
      </w:hyperlink>
    </w:p>
    <w:p w:rsidR="00227F96" w:rsidRPr="00280742" w:rsidRDefault="00B629E3" w:rsidP="00D244D0">
      <w:pPr>
        <w:pStyle w:val="1"/>
        <w:rPr>
          <w:rFonts w:ascii="Times New Roman" w:hAnsi="Times New Roman" w:hint="default"/>
          <w:sz w:val="24"/>
          <w:szCs w:val="24"/>
        </w:rPr>
      </w:pPr>
      <w:r w:rsidRPr="00280742">
        <w:rPr>
          <w:rFonts w:ascii="Times New Roman" w:hAnsi="Times New Roman" w:hint="default"/>
          <w:kern w:val="0"/>
          <w:sz w:val="24"/>
          <w:szCs w:val="24"/>
        </w:rPr>
        <w:t xml:space="preserve">12. </w:t>
      </w:r>
      <w:r w:rsidRPr="00280742">
        <w:rPr>
          <w:rFonts w:ascii="Times New Roman" w:hAnsi="Times New Roman" w:hint="default"/>
          <w:sz w:val="24"/>
          <w:szCs w:val="24"/>
        </w:rPr>
        <w:t>Neonatal Diabetes Mellitus : Clinical and Genetic Approach</w:t>
      </w:r>
      <w:hyperlink r:id="rId31" w:history="1">
        <w:r w:rsidR="00227F96" w:rsidRPr="00280742">
          <w:rPr>
            <w:rStyle w:val="Hyperlink"/>
            <w:rFonts w:ascii="Times New Roman" w:hAnsi="Times New Roman" w:hint="default"/>
            <w:sz w:val="24"/>
            <w:szCs w:val="24"/>
          </w:rPr>
          <w:t>N. Attia</w:t>
        </w:r>
      </w:hyperlink>
      <w:r w:rsidRPr="00280742">
        <w:rPr>
          <w:rFonts w:ascii="Times New Roman" w:hAnsi="Times New Roman" w:hint="default"/>
          <w:sz w:val="24"/>
          <w:szCs w:val="24"/>
        </w:rPr>
        <w:t xml:space="preserve"> Published 2018</w:t>
      </w: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ind w:left="360"/>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227F96">
      <w:pPr>
        <w:spacing w:line="360" w:lineRule="auto"/>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p w:rsidR="00227F96" w:rsidRPr="00280742" w:rsidRDefault="00227F96">
      <w:pPr>
        <w:rPr>
          <w:rFonts w:ascii="Times New Roman" w:hAnsi="Times New Roman" w:cs="Times New Roman"/>
          <w:sz w:val="24"/>
          <w:szCs w:val="24"/>
        </w:rPr>
      </w:pPr>
    </w:p>
    <w:sectPr w:rsidR="00227F96" w:rsidRPr="00280742" w:rsidSect="002A362B">
      <w:headerReference w:type="even" r:id="rId32"/>
      <w:headerReference w:type="default" r:id="rId33"/>
      <w:footerReference w:type="even" r:id="rId34"/>
      <w:footerReference w:type="default" r:id="rId35"/>
      <w:headerReference w:type="first" r:id="rId36"/>
      <w:footerReference w:type="first" r:id="rId37"/>
      <w:pgSz w:w="11906" w:h="16838"/>
      <w:pgMar w:top="1440" w:right="1800" w:bottom="1440" w:left="180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الحاسب الرقمي" w:date="2024-12-27T23:05:00Z" w:initials="الحاسب">
    <w:p w:rsidR="00D244D0" w:rsidRDefault="00D244D0">
      <w:pPr>
        <w:pStyle w:val="ac"/>
      </w:pPr>
      <w:r>
        <w:rPr>
          <w:rStyle w:val="ab"/>
        </w:rPr>
        <w:annotationRef/>
      </w:r>
    </w:p>
  </w:comment>
  <w:comment w:id="2" w:author="الحاسب الرقمي" w:date="2024-12-28T14:42:00Z" w:initials="الحاسب">
    <w:p w:rsidR="00A54098" w:rsidRDefault="00A54098" w:rsidP="00A54098">
      <w:pPr>
        <w:pStyle w:val="ac"/>
      </w:pPr>
      <w:r>
        <w:rPr>
          <w:rStyle w:val="ab"/>
        </w:rPr>
        <w:annotationRef/>
      </w:r>
      <w:r>
        <w:t>The introduction should:</w:t>
      </w:r>
    </w:p>
    <w:p w:rsidR="00A54098" w:rsidRDefault="00A54098" w:rsidP="00A54098">
      <w:pPr>
        <w:pStyle w:val="ac"/>
      </w:pPr>
    </w:p>
    <w:p w:rsidR="00A54098" w:rsidRDefault="00A54098" w:rsidP="00A54098">
      <w:pPr>
        <w:pStyle w:val="ac"/>
      </w:pPr>
      <w:r>
        <w:t>Begin with a concise definition and differentiation of non-type 1 and type 2 diabetes mellitus.</w:t>
      </w:r>
    </w:p>
    <w:p w:rsidR="00A54098" w:rsidRDefault="00A54098" w:rsidP="00A54098">
      <w:pPr>
        <w:pStyle w:val="ac"/>
      </w:pPr>
      <w:r>
        <w:t>Emphasize the clinical importance and implications of these categories.</w:t>
      </w:r>
    </w:p>
    <w:p w:rsidR="00A54098" w:rsidRDefault="00A54098" w:rsidP="00A54098">
      <w:pPr>
        <w:pStyle w:val="ac"/>
      </w:pPr>
      <w:r>
        <w:t>Provide a brief rationale for the structure and detailed focus on LADA.</w:t>
      </w:r>
    </w:p>
    <w:p w:rsidR="00A54098" w:rsidRDefault="00A54098" w:rsidP="00A54098">
      <w:pPr>
        <w:pStyle w:val="ac"/>
      </w:pPr>
      <w:r>
        <w:t>Incorporating these adjustments will ensure the introduction is more comprehensive, engaging, and aligned with academic standards for a book chapter.</w:t>
      </w:r>
    </w:p>
  </w:comment>
  <w:comment w:id="3" w:author="الحاسب الرقمي" w:date="2024-12-28T14:44:00Z" w:initials="الحاسب">
    <w:p w:rsidR="00A54098" w:rsidRDefault="00A54098">
      <w:pPr>
        <w:pStyle w:val="ac"/>
      </w:pPr>
      <w:r>
        <w:rPr>
          <w:rStyle w:val="ab"/>
        </w:rPr>
        <w:annotationRef/>
      </w:r>
      <w:r>
        <w:t>Incorporating smoother transitions, academic rigor, and clear integration of figures will enhance the quality of the introduction. Strengthening the narrative with references and data will ensure the section meets the expectations of a scholarly audience.</w:t>
      </w:r>
    </w:p>
  </w:comment>
  <w:comment w:id="4" w:author="الحاسب الرقمي" w:date="2024-12-28T14:48:00Z" w:initials="الحاسب">
    <w:p w:rsidR="00A54098" w:rsidRPr="00A54098" w:rsidRDefault="00A54098" w:rsidP="00A54098">
      <w:pPr>
        <w:numPr>
          <w:ilvl w:val="0"/>
          <w:numId w:val="5"/>
        </w:numPr>
        <w:spacing w:before="100" w:beforeAutospacing="1" w:after="100" w:afterAutospacing="1"/>
        <w:rPr>
          <w:rFonts w:ascii="Times New Roman" w:eastAsia="Times New Roman" w:hAnsi="Times New Roman" w:cs="Times New Roman"/>
          <w:sz w:val="24"/>
          <w:szCs w:val="24"/>
          <w:lang w:eastAsia="en-US"/>
        </w:rPr>
      </w:pPr>
      <w:r>
        <w:rPr>
          <w:rStyle w:val="ab"/>
        </w:rPr>
        <w:annotationRef/>
      </w:r>
      <w:r w:rsidRPr="00A54098">
        <w:rPr>
          <w:rFonts w:ascii="Times New Roman" w:eastAsia="Times New Roman" w:hAnsi="Times New Roman" w:cs="Times New Roman"/>
          <w:b/>
          <w:bCs/>
          <w:sz w:val="24"/>
          <w:szCs w:val="24"/>
          <w:lang w:eastAsia="en-US"/>
        </w:rPr>
        <w:t>ntegrate Figures</w:t>
      </w:r>
      <w:r w:rsidRPr="00A54098">
        <w:rPr>
          <w:rFonts w:ascii="Times New Roman" w:eastAsia="Times New Roman" w:hAnsi="Times New Roman" w:cs="Times New Roman"/>
          <w:sz w:val="24"/>
          <w:szCs w:val="24"/>
          <w:lang w:eastAsia="en-US"/>
        </w:rPr>
        <w:t>: Figures referenced in the text (e.g., FIG2, FIG33) are not explained or contextualized. Provide captions or brief descriptions of their relevance to clinical features, genetic markers, or complications.</w:t>
      </w:r>
    </w:p>
    <w:p w:rsidR="00A54098" w:rsidRPr="00A54098" w:rsidRDefault="00A54098" w:rsidP="00A54098">
      <w:pPr>
        <w:numPr>
          <w:ilvl w:val="0"/>
          <w:numId w:val="5"/>
        </w:numPr>
        <w:spacing w:before="100" w:beforeAutospacing="1" w:after="100" w:afterAutospacing="1"/>
        <w:rPr>
          <w:rFonts w:ascii="Times New Roman" w:eastAsia="Times New Roman" w:hAnsi="Times New Roman" w:cs="Times New Roman"/>
          <w:sz w:val="24"/>
          <w:szCs w:val="24"/>
          <w:lang w:eastAsia="en-US"/>
        </w:rPr>
      </w:pPr>
      <w:r w:rsidRPr="00A54098">
        <w:rPr>
          <w:rFonts w:ascii="Times New Roman" w:eastAsia="Times New Roman" w:hAnsi="Times New Roman" w:cs="Times New Roman"/>
          <w:b/>
          <w:bCs/>
          <w:sz w:val="24"/>
          <w:szCs w:val="24"/>
          <w:lang w:eastAsia="en-US"/>
        </w:rPr>
        <w:t>Add References</w:t>
      </w:r>
      <w:r w:rsidRPr="00A54098">
        <w:rPr>
          <w:rFonts w:ascii="Times New Roman" w:eastAsia="Times New Roman" w:hAnsi="Times New Roman" w:cs="Times New Roman"/>
          <w:sz w:val="24"/>
          <w:szCs w:val="24"/>
          <w:lang w:eastAsia="en-US"/>
        </w:rPr>
        <w:t>: Substantiate the content with in-text citations to peer-reviewed studies or authoritative reviews.</w:t>
      </w:r>
    </w:p>
    <w:p w:rsidR="00A54098" w:rsidRPr="00A54098" w:rsidRDefault="00A54098" w:rsidP="00A54098">
      <w:pPr>
        <w:spacing w:before="100" w:beforeAutospacing="1" w:after="100" w:afterAutospacing="1"/>
        <w:rPr>
          <w:rFonts w:ascii="Times New Roman" w:eastAsia="Times New Roman" w:hAnsi="Times New Roman" w:cs="Times New Roman"/>
          <w:sz w:val="24"/>
          <w:szCs w:val="24"/>
          <w:lang w:eastAsia="en-US"/>
        </w:rPr>
      </w:pPr>
      <w:r w:rsidRPr="00A54098">
        <w:rPr>
          <w:rFonts w:ascii="Times New Roman" w:eastAsia="Times New Roman" w:hAnsi="Times New Roman" w:cs="Times New Roman"/>
          <w:sz w:val="24"/>
          <w:szCs w:val="24"/>
          <w:lang w:eastAsia="en-US"/>
        </w:rPr>
        <w:t>Conclude each subsection with a summary statement that emphasizes its clinical or research implications.</w:t>
      </w:r>
    </w:p>
    <w:p w:rsidR="00A54098" w:rsidRPr="00A54098" w:rsidRDefault="00A54098" w:rsidP="00A54098">
      <w:pPr>
        <w:spacing w:before="100" w:beforeAutospacing="1" w:after="100" w:afterAutospacing="1"/>
        <w:rPr>
          <w:rFonts w:ascii="Times New Roman" w:eastAsia="Times New Roman" w:hAnsi="Times New Roman" w:cs="Times New Roman"/>
          <w:sz w:val="24"/>
          <w:szCs w:val="24"/>
          <w:lang w:eastAsia="en-US"/>
        </w:rPr>
      </w:pPr>
      <w:r w:rsidRPr="00A54098">
        <w:rPr>
          <w:rFonts w:ascii="Times New Roman" w:eastAsia="Times New Roman" w:hAnsi="Times New Roman" w:cs="Times New Roman"/>
          <w:sz w:val="24"/>
          <w:szCs w:val="24"/>
          <w:lang w:eastAsia="en-US"/>
        </w:rPr>
        <w:t>By addressing these points, the section will align more closely with the expectations of a scholarly book chapter and provide a stronger foundation for readers seeking to understand the complexities of LADA.</w:t>
      </w:r>
    </w:p>
    <w:p w:rsidR="00A54098" w:rsidRPr="00A54098" w:rsidRDefault="00A54098" w:rsidP="00A54098">
      <w:pPr>
        <w:rPr>
          <w:rFonts w:ascii="Times New Roman" w:eastAsia="Times New Roman" w:hAnsi="Times New Roman" w:cs="Times New Roman"/>
          <w:sz w:val="24"/>
          <w:szCs w:val="24"/>
          <w:lang w:eastAsia="en-US"/>
        </w:rPr>
      </w:pPr>
      <w:r w:rsidRPr="00A54098">
        <w:rPr>
          <w:rFonts w:ascii="Times New Roman" w:eastAsia="Times New Roman" w:hAnsi="Times New Roman" w:cs="Times New Roman"/>
          <w:sz w:val="24"/>
          <w:szCs w:val="24"/>
          <w:lang w:eastAsia="en-US"/>
        </w:rPr>
        <w:t>4o</w:t>
      </w:r>
    </w:p>
    <w:p w:rsidR="00A54098" w:rsidRDefault="00A54098">
      <w:pPr>
        <w:pStyle w:val="ac"/>
      </w:pPr>
    </w:p>
  </w:comment>
  <w:comment w:id="5" w:author="الحاسب الرقمي" w:date="2024-12-28T14:51:00Z" w:initials="الحاسب">
    <w:p w:rsidR="00A54098" w:rsidRDefault="00A54098" w:rsidP="00A54098">
      <w:pPr>
        <w:spacing w:before="100" w:beforeAutospacing="1" w:after="100" w:afterAutospacing="1"/>
      </w:pPr>
      <w:r>
        <w:rPr>
          <w:rStyle w:val="ab"/>
        </w:rPr>
        <w:annotationRef/>
      </w:r>
      <w:r>
        <w:t>: The text would benefit significantly from in-text citations and a reference list, ensuring the credibility of the presented findings and recommendations.</w:t>
      </w:r>
    </w:p>
    <w:p w:rsidR="00A54098" w:rsidRDefault="00A54098" w:rsidP="00A54098">
      <w:pPr>
        <w:spacing w:before="100" w:beforeAutospacing="1" w:after="100" w:afterAutospacing="1"/>
      </w:pPr>
      <w:r>
        <w:t>Including a table summarizing the prevalence of autoantibodies (GAD65, IA-2, ICA-12) across regions or a flowchart outlining screening and management pathways could improve comprehension and visual appeal.</w:t>
      </w:r>
    </w:p>
    <w:p w:rsidR="00A54098" w:rsidRDefault="00A54098" w:rsidP="00A54098">
      <w:pPr>
        <w:spacing w:before="100" w:beforeAutospacing="1" w:after="100" w:afterAutospacing="1"/>
      </w:pPr>
      <w:r>
        <w:t>: The conclusion of each section should succinctly summarize key findings and their implications, linking back to the broader context of diabetes management in India.</w:t>
      </w:r>
    </w:p>
    <w:p w:rsidR="00A54098" w:rsidRDefault="00A54098" w:rsidP="00A54098">
      <w:pPr>
        <w:spacing w:before="100" w:beforeAutospacing="1" w:after="100" w:afterAutospacing="1"/>
      </w:pPr>
      <w:r>
        <w:t>Breaking down long paragraphs into shorter ones with subheadings would improve readability and highlight critical points for the audience.</w:t>
      </w:r>
    </w:p>
    <w:p w:rsidR="00A54098" w:rsidRDefault="00A54098" w:rsidP="00A54098">
      <w:pPr>
        <w:tabs>
          <w:tab w:val="left" w:pos="420"/>
        </w:tabs>
      </w:pPr>
    </w:p>
    <w:p w:rsidR="00A54098" w:rsidRDefault="00A54098" w:rsidP="00A54098">
      <w:pPr>
        <w:pStyle w:val="a6"/>
      </w:pPr>
      <w:r>
        <w:t>The chapter provides a solid foundation for understanding LADA in the Indian population and the challenges of screening in resource-limited settings. By refining the organization, ensuring consistency in reporting results, incorporating mechanistic insights, and integrating references and visual aids, the chapter can significantly enhance its impact and utility for its readers.</w:t>
      </w:r>
    </w:p>
    <w:p w:rsidR="00A54098" w:rsidRDefault="00A54098" w:rsidP="00A54098">
      <w:r>
        <w:rPr>
          <w:rStyle w:val="overflow-hidden"/>
        </w:rPr>
        <w:t>4o</w:t>
      </w:r>
    </w:p>
    <w:p w:rsidR="00A54098" w:rsidRDefault="00A54098">
      <w:pPr>
        <w:pStyle w:val="ac"/>
      </w:pPr>
    </w:p>
  </w:comment>
  <w:comment w:id="6" w:author="الحاسب الرقمي" w:date="2024-12-28T14:56:00Z" w:initials="الحاسب">
    <w:p w:rsidR="00156F89" w:rsidRPr="00156F89" w:rsidRDefault="00156F89" w:rsidP="00156F89">
      <w:pPr>
        <w:pStyle w:val="a6"/>
        <w:rPr>
          <w:rFonts w:eastAsia="Times New Roman"/>
          <w:lang w:eastAsia="en-US"/>
        </w:rPr>
      </w:pPr>
      <w:r>
        <w:rPr>
          <w:rStyle w:val="ab"/>
        </w:rPr>
        <w:annotationRef/>
      </w:r>
      <w:r w:rsidRPr="00156F89">
        <w:rPr>
          <w:rFonts w:eastAsia="Times New Roman"/>
          <w:lang w:eastAsia="en-US"/>
        </w:rPr>
        <w:t xml:space="preserve"> The section on LADA therapies outlines promising treatments such as early insulin therapy, Diapep 277, and GAD65 vaccination. While the description of these therapies is detailed, a clearer articulation of the challenges associated with their implementation in clinical practice would provide a balanced perspective. For instance, discussing the potential side effects, cost considerations, or barriers to widespread adoption of these novel interventions would strengthen the discussion.</w:t>
      </w:r>
      <w:r>
        <w:rPr>
          <w:rFonts w:eastAsia="Times New Roman"/>
          <w:lang w:eastAsia="en-US"/>
        </w:rPr>
        <w:t xml:space="preserve"> </w:t>
      </w:r>
      <w:r w:rsidRPr="00156F89">
        <w:rPr>
          <w:rFonts w:eastAsia="Times New Roman"/>
          <w:lang w:eastAsia="en-US"/>
        </w:rPr>
        <w:t>Additionally, juxtaposing these innovative therapies with established treatments, such as sulfonylureas and insulin, could highlight the practical implications of these advancements.</w:t>
      </w:r>
    </w:p>
    <w:p w:rsidR="00156F89" w:rsidRPr="00156F89" w:rsidRDefault="00156F89" w:rsidP="00156F89">
      <w:pPr>
        <w:spacing w:before="100" w:beforeAutospacing="1" w:after="100" w:afterAutospacing="1"/>
        <w:rPr>
          <w:rFonts w:ascii="Times New Roman" w:eastAsia="Times New Roman" w:hAnsi="Times New Roman" w:cs="Times New Roman"/>
          <w:sz w:val="24"/>
          <w:szCs w:val="24"/>
          <w:lang w:eastAsia="en-US"/>
        </w:rPr>
      </w:pPr>
      <w:r w:rsidRPr="00156F89">
        <w:rPr>
          <w:rFonts w:ascii="Times New Roman" w:eastAsia="Times New Roman" w:hAnsi="Times New Roman" w:cs="Times New Roman"/>
          <w:sz w:val="24"/>
          <w:szCs w:val="24"/>
          <w:lang w:eastAsia="en-US"/>
        </w:rPr>
        <w:t>The discussion on the Japanese multicenter study contrasts with findings from Swedish research on early insulin therapy. While this illustrates the heterogeneity in outcomes, the narrative would benefit from a cohesive synthesis of these findings to identify potential influencing factors, such as genetic, lifestyle, or healthcare differences.</w:t>
      </w:r>
      <w:r>
        <w:rPr>
          <w:rFonts w:ascii="Times New Roman" w:eastAsia="Times New Roman" w:hAnsi="Times New Roman" w:cs="Times New Roman"/>
          <w:sz w:val="24"/>
          <w:szCs w:val="24"/>
          <w:lang w:eastAsia="en-US"/>
        </w:rPr>
        <w:t xml:space="preserve"> </w:t>
      </w:r>
      <w:r w:rsidRPr="00156F89">
        <w:rPr>
          <w:rFonts w:ascii="Times New Roman" w:eastAsia="Times New Roman" w:hAnsi="Times New Roman" w:cs="Times New Roman"/>
          <w:sz w:val="24"/>
          <w:szCs w:val="24"/>
          <w:lang w:eastAsia="en-US"/>
        </w:rPr>
        <w:t>The section on MODY provides an exhaustive list of its subtypes, genetic loci, and distinguishing features. However, the genetic complexity might overwhelm readers without additional context. It would be helpful to include a brief explanation of how these genetic mutations translate into clinical manifestations or therapeutic strategies. A summary table highlighting the key features and treatment recommendations for each subtype could improve readability.</w:t>
      </w:r>
    </w:p>
    <w:p w:rsidR="00156F89" w:rsidRPr="00156F89" w:rsidRDefault="00156F89" w:rsidP="00156F89">
      <w:pPr>
        <w:spacing w:before="100" w:beforeAutospacing="1" w:after="100" w:afterAutospacing="1"/>
        <w:rPr>
          <w:rFonts w:ascii="Times New Roman" w:eastAsia="Times New Roman" w:hAnsi="Times New Roman" w:cs="Times New Roman"/>
          <w:sz w:val="24"/>
          <w:szCs w:val="24"/>
          <w:lang w:eastAsia="en-US"/>
        </w:rPr>
      </w:pPr>
      <w:r w:rsidRPr="00156F89">
        <w:rPr>
          <w:rFonts w:ascii="Times New Roman" w:eastAsia="Times New Roman" w:hAnsi="Times New Roman" w:cs="Times New Roman"/>
          <w:sz w:val="24"/>
          <w:szCs w:val="24"/>
          <w:lang w:eastAsia="en-US"/>
        </w:rPr>
        <w:t>The comparative table (Table 1) effectively contrasts MODY, Type 1 Diabetes Mellitus (T1DM), and Type 2 Diabetes Mellitus (T2DM). However, the table would benefit from improved formatting to ensure consistency in terminology (e.g., "Autoimmune Disease" vs. "AD"). Adding footnotes or references to explain terms like "C-peptide levels" and "AD inheritance" would make the content more accessible to a broader audience.</w:t>
      </w:r>
    </w:p>
    <w:p w:rsidR="00156F89" w:rsidRPr="00156F89" w:rsidRDefault="00156F89" w:rsidP="00156F89">
      <w:pPr>
        <w:spacing w:before="100" w:beforeAutospacing="1" w:after="100" w:afterAutospacing="1"/>
        <w:rPr>
          <w:rFonts w:ascii="Times New Roman" w:eastAsia="Times New Roman" w:hAnsi="Times New Roman" w:cs="Times New Roman"/>
          <w:sz w:val="24"/>
          <w:szCs w:val="24"/>
          <w:lang w:eastAsia="en-US"/>
        </w:rPr>
      </w:pPr>
      <w:r w:rsidRPr="00156F89">
        <w:rPr>
          <w:rFonts w:ascii="Times New Roman" w:eastAsia="Times New Roman" w:hAnsi="Times New Roman" w:cs="Times New Roman"/>
          <w:sz w:val="24"/>
          <w:szCs w:val="24"/>
          <w:lang w:eastAsia="en-US"/>
        </w:rPr>
        <w:t>Although the section draws from various studies, explicit citations for key findings (e.g., the Japanese multicenter study and Swedish research) should be included to enhance credibility. This would also allow readers to explore the original research for deeper insights.</w:t>
      </w:r>
      <w:r>
        <w:rPr>
          <w:rFonts w:ascii="Times New Roman" w:eastAsia="Times New Roman" w:hAnsi="Times New Roman" w:cs="Times New Roman"/>
          <w:sz w:val="24"/>
          <w:szCs w:val="24"/>
          <w:lang w:eastAsia="en-US"/>
        </w:rPr>
        <w:t xml:space="preserve"> </w:t>
      </w:r>
      <w:r w:rsidRPr="00156F89">
        <w:rPr>
          <w:rFonts w:ascii="Times New Roman" w:eastAsia="Times New Roman" w:hAnsi="Times New Roman" w:cs="Times New Roman"/>
          <w:sz w:val="24"/>
          <w:szCs w:val="24"/>
          <w:lang w:eastAsia="en-US"/>
        </w:rPr>
        <w:t>Certain phrases, such as "safety and tolerability have been proved," should be rephrased to reflect a more cautious interpretation of study findings (e.g., "preliminary evidence suggests favorable safety and tolerability profiles"). This avoids overgeneralization and aligns with scientific conventions.</w:t>
      </w:r>
      <w:r w:rsidRPr="00156F89">
        <w:rPr>
          <w:rFonts w:ascii="Times New Roman" w:eastAsia="Times New Roman" w:hAnsi="Times New Roman" w:cs="Times New Roman"/>
          <w:sz w:val="24"/>
          <w:szCs w:val="24"/>
          <w:lang w:eastAsia="en-US"/>
        </w:rPr>
        <w:br/>
        <w:t>This introduction is a valuable addition to the book, providing insights into advanced therapies for LADA and the unique characteristics of MODY. Incorporating the suggested improvements will enhance its scientific depth, accessibility, and coherence, making it more impactful for the intended readership.</w:t>
      </w:r>
    </w:p>
    <w:p w:rsidR="00156F89" w:rsidRDefault="00156F89">
      <w:pPr>
        <w:pStyle w:val="ac"/>
      </w:pPr>
    </w:p>
  </w:comment>
  <w:comment w:id="7" w:author="الحاسب الرقمي" w:date="2024-12-28T15:03:00Z" w:initials="الحاسب">
    <w:p w:rsidR="00156F89" w:rsidRDefault="00156F89" w:rsidP="00156F89">
      <w:pPr>
        <w:pStyle w:val="a6"/>
        <w:spacing w:before="100" w:after="100"/>
      </w:pPr>
      <w:r>
        <w:rPr>
          <w:rStyle w:val="ab"/>
        </w:rPr>
        <w:annotationRef/>
      </w:r>
      <w:r>
        <w:t xml:space="preserve"> </w:t>
      </w:r>
    </w:p>
    <w:p w:rsidR="00156F89" w:rsidRDefault="00156F89" w:rsidP="00156F89">
      <w:pPr>
        <w:pStyle w:val="a6"/>
        <w:spacing w:before="100" w:after="100"/>
      </w:pPr>
      <w:r>
        <w:br/>
        <w:t>Terms like "type 1 diabetes," "type 2 diabetes," and "MODY" are used frequently. Ensure consistency in terminology throughout the text. For example, "HNF-1 alpha" appears as both "HNF-1alpha" and "HNF1A gene" in different sections. Standardizing these terms would enhance readability and precision.</w:t>
      </w:r>
      <w:r>
        <w:br/>
        <w:t>The introduction appropriately cites recent studies (e.g., "Tim J, McDonald" and "S.A. Mughal, R. Park"). However, the citations lack complete details, which may hinder verification by readers. Including full references in the final manuscript would be necessary for academic rigor.</w:t>
      </w:r>
      <w:r>
        <w:br/>
        <w:t>The mention of figures (e.g., "FIG45INSULIN RELEASE PROCESS") lacks detailed descriptions. Adding figure legends and integrating figures into the narrative would enhance comprehension. Ensure that all figures are adequately labeled and referenced in the text to avoid ambiguity.</w:t>
      </w:r>
    </w:p>
    <w:p w:rsidR="00156F89" w:rsidRDefault="00156F89" w:rsidP="00156F89">
      <w:pPr>
        <w:pStyle w:val="a6"/>
        <w:spacing w:before="100" w:after="100"/>
      </w:pPr>
      <w:r>
        <w:br/>
        <w:t>The discussion on genetic and clinical characteristics of MODY-3 is insightful, particularly the emphasis on the HNF-1 alpha gene. However, certain points, such as the management strategies (e.g., switching from insulin to sulfonylureas), would benefit from citing additional guidelines or evidence to substantiate the claims.</w:t>
      </w:r>
      <w:r>
        <w:br/>
        <w:t>Some sections exhibit grammatical issues and inconsistencies in formatting (e.g., "DIFFERENT TYPE OF MODY AND THEIR CHARCTERSTICS"). Ensuring proper grammar, consistent capitalization, and clear paragraph structuring will enhance the manuscript's professional quality.</w:t>
      </w:r>
    </w:p>
    <w:p w:rsidR="00156F89" w:rsidRDefault="00156F89" w:rsidP="00156F89">
      <w:pPr>
        <w:pStyle w:val="a6"/>
        <w:spacing w:before="100" w:after="100"/>
      </w:pPr>
      <w:r>
        <w:t>While the management section covers key treatment strategies, the text could delve deeper into specific challenges in transitioning patients to sulfonylureas. Discussing alternative management options or emerging therapies for MODY-3 might also strengthen the manuscript. Clearly define abbreviations like "OGTT" and "OADs" upon first use. Integrate figures into the discussion to ensure a cohesive narrative. Provide full citations for referenced studies. Reorganize the content under logical subheadings for improved readability.</w:t>
      </w:r>
    </w:p>
    <w:p w:rsidR="00156F89" w:rsidRDefault="00156F89" w:rsidP="00156F89">
      <w:pPr>
        <w:pStyle w:val="a6"/>
      </w:pPr>
      <w:r>
        <w:t>While the manuscript offers a detailed exploration of MODY-3, refining its structure, integrating figures into the text, and addressing the above points will significantly improve its clarity and scientific impact.</w:t>
      </w:r>
    </w:p>
    <w:p w:rsidR="00156F89" w:rsidRDefault="00156F89">
      <w:pPr>
        <w:pStyle w:val="ac"/>
      </w:pPr>
    </w:p>
  </w:comment>
  <w:comment w:id="8" w:author="الحاسب الرقمي" w:date="2024-12-28T15:08:00Z" w:initials="الحاسب">
    <w:p w:rsidR="000F3976" w:rsidRDefault="000F3976" w:rsidP="000F3976">
      <w:pPr>
        <w:pStyle w:val="a6"/>
        <w:spacing w:before="100" w:after="100"/>
      </w:pPr>
      <w:r>
        <w:rPr>
          <w:rStyle w:val="ab"/>
        </w:rPr>
        <w:annotationRef/>
      </w:r>
      <w:r>
        <w:br/>
        <w:t>The introduction provides detailed information about various pharmacological treatments for MODY (Maturity-Onset Diabetes of the Young) and neonatal diabetes mellitus (NDM). However, the section could benefit from a more structured layout to separate distinct themes, such as treatments for MODY subtypes, transient neonatal diabetes mellitus (TNDM), and permanent neonatal diabetes mellitus (PNDM). This would enhance readability and comprehension for the audience</w:t>
      </w:r>
      <w:r>
        <w:br/>
        <w:t>The section references key therapeutic options, including sulfonylureas, meglitinides, and GLP-1 receptor agonists, with specific outcomes such as HbA1c levels. However, the provided evidence primarily relies on case studies and limited clinical data (e.g., "Maricor et al. published a case report"). It would be beneficial to include larger-scale clinical trials or meta-analyses to substantiate these claims and provide a more robust foundation for the recommendations.</w:t>
      </w:r>
      <w:r>
        <w:br/>
        <w:t>While the text mentions comparative HbA1c reductions achieved by different therapies, the rationale behind these differences is not thoroughly explored. For instance, why sulfonylureas outperform insulin in glycemic control in MODY patients should be discussed mechanistically, particularly for a book audience seeking advanced knowledge.</w:t>
      </w:r>
    </w:p>
    <w:p w:rsidR="000F3976" w:rsidRDefault="000F3976" w:rsidP="000F3976">
      <w:pPr>
        <w:pStyle w:val="a6"/>
        <w:spacing w:before="100" w:after="100"/>
      </w:pPr>
      <w:r>
        <w:br/>
        <w:t>The section on genetic defects in neonatal diabetes provides a comprehensive overview of syndromic and non-syndromic forms, but it lacks references to emerging gene-editing technologies or potential implications for personalized medicine. This could provide a forward-looking perspective for the audience.</w:t>
      </w:r>
    </w:p>
    <w:p w:rsidR="000F3976" w:rsidRDefault="000F3976" w:rsidP="000F3976">
      <w:pPr>
        <w:pStyle w:val="a6"/>
        <w:spacing w:before="100" w:after="100"/>
      </w:pPr>
      <w:r>
        <w:br/>
        <w:t>The references to figures (e.g., FIG 710, FIG 811) lack accompanying explanations within the text. Including a brief description of how these figures contribute to understanding the topic would improve integration and utility for readers. Terms such as "Sulphonylyureas" should be corrected to "Sulfonylureas" for consistency with standard pharmacological terminology. Punctuation and grammar inconsistencies (e.g., "e.g., europeancaucasian") should be addressed for professionalism.</w:t>
      </w:r>
      <w:r>
        <w:br/>
        <w:t xml:space="preserve">While the section outlines various therapeutic options, there is limited practical guidance for clinicians on selecting treatments based on specific patient characteristics (e.g., age, severity, or genetic profile). A summary table highlighting these aspects could be a valuable addition. </w:t>
      </w:r>
      <w:r>
        <w:br/>
        <w:t>The authors have included references to studies but have not provided detailed citations (e.g., journal name, year, DOI). Complete references should be provided to enhance credibility and allow readers to verify the sources.</w:t>
      </w:r>
    </w:p>
    <w:p w:rsidR="000F3976" w:rsidRDefault="000F3976" w:rsidP="000F3976">
      <w:pPr>
        <w:spacing w:before="100" w:beforeAutospacing="1" w:after="100" w:afterAutospacing="1"/>
      </w:pPr>
      <w:r>
        <w:t>Reorganize the section for clarity, dividing it into subsections for MODY treatments, TNDM, and PNDM.</w:t>
      </w:r>
    </w:p>
    <w:p w:rsidR="000F3976" w:rsidRDefault="000F3976" w:rsidP="000F3976">
      <w:pPr>
        <w:numPr>
          <w:ilvl w:val="0"/>
          <w:numId w:val="10"/>
        </w:numPr>
        <w:spacing w:before="100" w:beforeAutospacing="1" w:after="100" w:afterAutospacing="1"/>
      </w:pPr>
      <w:r>
        <w:t>Provide more comprehensive evidence for the efficacy of treatments, citing larger-scale studies or reviews.</w:t>
      </w:r>
    </w:p>
    <w:p w:rsidR="000F3976" w:rsidRDefault="000F3976" w:rsidP="000F3976">
      <w:pPr>
        <w:numPr>
          <w:ilvl w:val="0"/>
          <w:numId w:val="10"/>
        </w:numPr>
        <w:spacing w:before="100" w:beforeAutospacing="1" w:after="100" w:afterAutospacing="1"/>
      </w:pPr>
      <w:r>
        <w:t>Include mechanistic explanations for observed differences in treatment outcomes.</w:t>
      </w:r>
    </w:p>
    <w:p w:rsidR="000F3976" w:rsidRDefault="000F3976" w:rsidP="000F3976">
      <w:pPr>
        <w:numPr>
          <w:ilvl w:val="0"/>
          <w:numId w:val="10"/>
        </w:numPr>
        <w:spacing w:before="100" w:beforeAutospacing="1" w:after="100" w:afterAutospacing="1"/>
      </w:pPr>
      <w:r>
        <w:t>Enhance the integration of figures by explicitly referencing their significance in the text.</w:t>
      </w:r>
    </w:p>
    <w:p w:rsidR="000F3976" w:rsidRDefault="000F3976" w:rsidP="000F3976">
      <w:pPr>
        <w:numPr>
          <w:ilvl w:val="0"/>
          <w:numId w:val="10"/>
        </w:numPr>
        <w:spacing w:before="100" w:beforeAutospacing="1" w:after="100" w:afterAutospacing="1"/>
      </w:pPr>
      <w:r>
        <w:t>Revise formatting and grammar for precision and readability.</w:t>
      </w:r>
    </w:p>
    <w:p w:rsidR="000F3976" w:rsidRDefault="000F3976" w:rsidP="000F3976">
      <w:pPr>
        <w:pStyle w:val="a6"/>
      </w:pPr>
      <w:r>
        <w:t>Overall, the section contains valuable information but requires structural refinement and additional evidence to achieve the expected standard for a scholarly publication.</w:t>
      </w:r>
    </w:p>
    <w:p w:rsidR="000F3976" w:rsidRDefault="000F3976">
      <w:pPr>
        <w:pStyle w:val="ac"/>
      </w:pPr>
    </w:p>
  </w:comment>
  <w:comment w:id="9" w:author="الحاسب الرقمي" w:date="2024-12-28T15:13:00Z" w:initials="الحاسب">
    <w:p w:rsidR="00C63BEF" w:rsidRDefault="00C63BEF" w:rsidP="00C63BEF">
      <w:pPr>
        <w:pStyle w:val="a6"/>
        <w:spacing w:before="100" w:after="100"/>
      </w:pPr>
      <w:r>
        <w:rPr>
          <w:rStyle w:val="ab"/>
        </w:rPr>
        <w:annotationRef/>
      </w:r>
    </w:p>
    <w:p w:rsidR="00C63BEF" w:rsidRDefault="00C63BEF" w:rsidP="00C63BEF">
      <w:pPr>
        <w:pStyle w:val="a6"/>
        <w:spacing w:before="100" w:after="100"/>
      </w:pPr>
      <w:r>
        <w:br/>
        <w:t xml:space="preserve">The section effectively highlights the difficulty in differentiating stress hyperglycemia from neonatal diabetes. However, the explanation regarding the role of C-peptide levels could be expanded to clarify their diagnostic significance and how they contribute to distinguishing between transient and permanent forms of neonatal diabetes. </w:t>
      </w:r>
      <w:r>
        <w:br/>
        <w:t>The emphasis on genetic studies is commendable. Still, it would be valuable to include examples of specific diagnostic tools or techniques (e.g., next-generation sequencing) and their practical application in clinical settings. Additionally, the relevance of genetic findings to treatment decisions should be underscored.</w:t>
      </w:r>
    </w:p>
    <w:p w:rsidR="00C63BEF" w:rsidRDefault="00C63BEF" w:rsidP="00C63BEF">
      <w:pPr>
        <w:pStyle w:val="a6"/>
        <w:spacing w:before="100" w:after="100"/>
      </w:pPr>
      <w:r>
        <w:br/>
        <w:t>The description of insulin therapy and oral drug switching protocols is informative, but the text could benefit from further detail on how these approaches are adapted to the unique challenges of neonatal physiology. For instance, discussing the risks and mitigation strategies for hypoglycemia during insulin therapy would provide a more comprehensive picture.</w:t>
      </w:r>
    </w:p>
    <w:p w:rsidR="00C63BEF" w:rsidRDefault="00C63BEF" w:rsidP="00C63BEF">
      <w:pPr>
        <w:pStyle w:val="a6"/>
        <w:spacing w:before="100" w:after="100"/>
      </w:pPr>
      <w:r>
        <w:br/>
        <w:t>The discussion on prognosis is thorough, but it would benefit from greater emphasis on the long-term follow-up strategies for patients with transient neonatal diabetes. Highlighting specific markers or indicators for monitoring would make this section more actionable for clinicians.</w:t>
      </w:r>
      <w:r>
        <w:br/>
        <w:t>While the scientific content is solid, the language occasionally lacks precision. For example, phrases like "diabetes can later lead to diabetes over the years" are redundant and could be rephrased for better clarity. Additionally, proper headings and subheadings for sections such as "Diagnosis," "Management," and "Prognosis" would improve the organization and readability.</w:t>
      </w:r>
    </w:p>
    <w:p w:rsidR="00C63BEF" w:rsidRDefault="00C63BEF" w:rsidP="00C63BEF">
      <w:pPr>
        <w:pStyle w:val="a6"/>
        <w:spacing w:before="100" w:after="100"/>
      </w:pPr>
      <w:r>
        <w:br/>
        <w:t>The inclusion of figures (e.g., "FIG 912") is a strength, but these should be accompanied by clear captions and integrated into the text with appropriate references. If possible, include a brief description of their relevance in the main text to ensure they complement the content effectively.</w:t>
      </w:r>
    </w:p>
    <w:p w:rsidR="00C63BEF" w:rsidRDefault="00C63BEF" w:rsidP="00C63BEF">
      <w:pPr>
        <w:pStyle w:val="a6"/>
      </w:pPr>
      <w:r>
        <w:t>The chapter provides a robust foundation for understanding neonatal diabetes mellitus. However, to enhance its utility for both researchers and clinicians, I recommend:</w:t>
      </w:r>
    </w:p>
    <w:p w:rsidR="00C63BEF" w:rsidRDefault="00C63BEF" w:rsidP="00C63BEF">
      <w:pPr>
        <w:spacing w:before="100" w:beforeAutospacing="1" w:after="100" w:afterAutospacing="1"/>
      </w:pPr>
      <w:r>
        <w:t>Reorganizing the content into distinct sections with headings.</w:t>
      </w:r>
    </w:p>
    <w:p w:rsidR="00C63BEF" w:rsidRDefault="00C63BEF" w:rsidP="00C63BEF">
      <w:pPr>
        <w:spacing w:before="100" w:beforeAutospacing="1" w:after="100" w:afterAutospacing="1"/>
      </w:pPr>
      <w:r>
        <w:t>Expanding on the diagnostic and genetic evaluation processes.</w:t>
      </w:r>
    </w:p>
    <w:p w:rsidR="00C63BEF" w:rsidRDefault="00C63BEF" w:rsidP="00C63BEF">
      <w:pPr>
        <w:spacing w:before="100" w:beforeAutospacing="1" w:after="100" w:afterAutospacing="1"/>
      </w:pPr>
      <w:r>
        <w:t>Adding practical insights into management strategies.</w:t>
      </w:r>
    </w:p>
    <w:p w:rsidR="00C63BEF" w:rsidRDefault="00C63BEF" w:rsidP="00C63BEF">
      <w:pPr>
        <w:spacing w:before="100" w:beforeAutospacing="1" w:after="100" w:afterAutospacing="1"/>
      </w:pPr>
      <w:r>
        <w:t>Refining the language for clarity and conciseness.</w:t>
      </w:r>
    </w:p>
  </w:comment>
  <w:comment w:id="10" w:author="الحاسب الرقمي" w:date="2024-12-28T15:18:00Z" w:initials="الحاسب">
    <w:p w:rsidR="006371AB" w:rsidRDefault="006371AB" w:rsidP="006371AB">
      <w:pPr>
        <w:pStyle w:val="ac"/>
      </w:pPr>
      <w:r>
        <w:rPr>
          <w:rStyle w:val="ab"/>
        </w:rPr>
        <w:annotationRef/>
      </w:r>
      <w:r>
        <w:t>Timeliness: While many references are foundational, some are outdated. Consider incorporating more recent studies to ensure the reference list reflects the latest advancements in NDM research.</w:t>
      </w:r>
    </w:p>
    <w:p w:rsidR="006371AB" w:rsidRDefault="006371AB" w:rsidP="006371AB">
      <w:pPr>
        <w:pStyle w:val="ac"/>
      </w:pPr>
      <w:r>
        <w:t>Balance: The list could benefit from additional references focusing specifically on neonatal diabetes, as some sources emphasize MODY or general diabetes.</w:t>
      </w:r>
    </w:p>
    <w:p w:rsidR="006371AB" w:rsidRDefault="006371AB" w:rsidP="006371AB">
      <w:pPr>
        <w:pStyle w:val="ac"/>
      </w:pPr>
      <w:r>
        <w:t>Reliability: Verify the credibility of lesser-known sources (e.g., Russian Open Medical Journal) and supplement them with citations from more prominent journals.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CE0" w:rsidRDefault="00AA5CE0" w:rsidP="00B940F8">
      <w:r>
        <w:separator/>
      </w:r>
    </w:p>
  </w:endnote>
  <w:endnote w:type="continuationSeparator" w:id="1">
    <w:p w:rsidR="00AA5CE0" w:rsidRDefault="00AA5CE0" w:rsidP="00B940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F8" w:rsidRDefault="00B940F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F8" w:rsidRDefault="00B940F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F8" w:rsidRDefault="00B940F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CE0" w:rsidRDefault="00AA5CE0" w:rsidP="00B940F8">
      <w:r>
        <w:separator/>
      </w:r>
    </w:p>
  </w:footnote>
  <w:footnote w:type="continuationSeparator" w:id="1">
    <w:p w:rsidR="00AA5CE0" w:rsidRDefault="00AA5CE0" w:rsidP="00B940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F8" w:rsidRDefault="002C6D33">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75688"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F8" w:rsidRDefault="002C6D33">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75689"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F8" w:rsidRDefault="002C6D33">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75687"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C43456"/>
    <w:multiLevelType w:val="singleLevel"/>
    <w:tmpl w:val="87C43456"/>
    <w:lvl w:ilvl="0">
      <w:start w:val="1"/>
      <w:numFmt w:val="decimal"/>
      <w:lvlText w:val="%1."/>
      <w:lvlJc w:val="left"/>
      <w:pPr>
        <w:tabs>
          <w:tab w:val="left" w:pos="425"/>
        </w:tabs>
        <w:ind w:left="425" w:hanging="425"/>
      </w:pPr>
      <w:rPr>
        <w:rFonts w:hint="default"/>
      </w:rPr>
    </w:lvl>
  </w:abstractNum>
  <w:abstractNum w:abstractNumId="1">
    <w:nsid w:val="B0ECF6A9"/>
    <w:multiLevelType w:val="singleLevel"/>
    <w:tmpl w:val="B0ECF6A9"/>
    <w:lvl w:ilvl="0">
      <w:start w:val="1"/>
      <w:numFmt w:val="bullet"/>
      <w:lvlText w:val=""/>
      <w:lvlJc w:val="left"/>
      <w:pPr>
        <w:tabs>
          <w:tab w:val="left" w:pos="420"/>
        </w:tabs>
        <w:ind w:left="420" w:hanging="420"/>
      </w:pPr>
      <w:rPr>
        <w:rFonts w:ascii="Wingdings" w:hAnsi="Wingdings" w:hint="default"/>
      </w:rPr>
    </w:lvl>
  </w:abstractNum>
  <w:abstractNum w:abstractNumId="2">
    <w:nsid w:val="07B00E9F"/>
    <w:multiLevelType w:val="hybridMultilevel"/>
    <w:tmpl w:val="B63465D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nsid w:val="0C7B7440"/>
    <w:multiLevelType w:val="multilevel"/>
    <w:tmpl w:val="3560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1062CF"/>
    <w:multiLevelType w:val="multilevel"/>
    <w:tmpl w:val="F2E2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B5326"/>
    <w:multiLevelType w:val="multilevel"/>
    <w:tmpl w:val="4E0A2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634C2C"/>
    <w:multiLevelType w:val="multilevel"/>
    <w:tmpl w:val="D352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B67DFA"/>
    <w:multiLevelType w:val="multilevel"/>
    <w:tmpl w:val="4B56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8B9B79"/>
    <w:multiLevelType w:val="singleLevel"/>
    <w:tmpl w:val="608B9B79"/>
    <w:lvl w:ilvl="0">
      <w:start w:val="1"/>
      <w:numFmt w:val="bullet"/>
      <w:lvlText w:val=""/>
      <w:lvlJc w:val="left"/>
      <w:pPr>
        <w:tabs>
          <w:tab w:val="left" w:pos="420"/>
        </w:tabs>
        <w:ind w:left="420" w:hanging="420"/>
      </w:pPr>
      <w:rPr>
        <w:rFonts w:ascii="Wingdings" w:hAnsi="Wingdings" w:hint="default"/>
      </w:rPr>
    </w:lvl>
  </w:abstractNum>
  <w:abstractNum w:abstractNumId="9">
    <w:nsid w:val="71F635D2"/>
    <w:multiLevelType w:val="multilevel"/>
    <w:tmpl w:val="EBAC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A73121"/>
    <w:multiLevelType w:val="multilevel"/>
    <w:tmpl w:val="FE7459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943855"/>
    <w:multiLevelType w:val="multilevel"/>
    <w:tmpl w:val="970883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5"/>
  </w:num>
  <w:num w:numId="8">
    <w:abstractNumId w:val="11"/>
  </w:num>
  <w:num w:numId="9">
    <w:abstractNumId w:val="10"/>
  </w:num>
  <w:num w:numId="10">
    <w:abstractNumId w:val="4"/>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20"/>
  <w:drawingGridVerticalSpacing w:val="156"/>
  <w:noPunctuationKerning/>
  <w:characterSpacingControl w:val="doNotCompress"/>
  <w:hdrShapeDefaults>
    <o:shapedefaults v:ext="edit" spidmax="6146" fillcolor="white">
      <v:fill color="white"/>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72A27"/>
    <w:rsid w:val="000875DA"/>
    <w:rsid w:val="000F3976"/>
    <w:rsid w:val="00132871"/>
    <w:rsid w:val="00133683"/>
    <w:rsid w:val="001539B6"/>
    <w:rsid w:val="00156F89"/>
    <w:rsid w:val="00172A27"/>
    <w:rsid w:val="001E6D7D"/>
    <w:rsid w:val="00227F96"/>
    <w:rsid w:val="00280742"/>
    <w:rsid w:val="002A362B"/>
    <w:rsid w:val="002C6D33"/>
    <w:rsid w:val="005C69D0"/>
    <w:rsid w:val="006371AB"/>
    <w:rsid w:val="00681191"/>
    <w:rsid w:val="006D5487"/>
    <w:rsid w:val="008D6ECA"/>
    <w:rsid w:val="0098666F"/>
    <w:rsid w:val="00A22900"/>
    <w:rsid w:val="00A54098"/>
    <w:rsid w:val="00AA5CE0"/>
    <w:rsid w:val="00B26A0C"/>
    <w:rsid w:val="00B629E3"/>
    <w:rsid w:val="00B940F8"/>
    <w:rsid w:val="00BB30FF"/>
    <w:rsid w:val="00BC6E55"/>
    <w:rsid w:val="00C63BEF"/>
    <w:rsid w:val="00CD13FA"/>
    <w:rsid w:val="00D244D0"/>
    <w:rsid w:val="00D37D11"/>
    <w:rsid w:val="00DB31CC"/>
    <w:rsid w:val="00DD33EC"/>
    <w:rsid w:val="00DF5909"/>
    <w:rsid w:val="00E946BF"/>
    <w:rsid w:val="00ED4E07"/>
    <w:rsid w:val="04532573"/>
    <w:rsid w:val="12862439"/>
    <w:rsid w:val="14D373EF"/>
    <w:rsid w:val="1821675E"/>
    <w:rsid w:val="30AD11E9"/>
    <w:rsid w:val="48490985"/>
    <w:rsid w:val="4F235095"/>
    <w:rsid w:val="53FB16D5"/>
    <w:rsid w:val="5FBC74B3"/>
    <w:rsid w:val="620208C2"/>
    <w:rsid w:val="78081B84"/>
    <w:rsid w:val="7AB63E79"/>
    <w:rsid w:val="7EEA52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62B"/>
    <w:rPr>
      <w:rFonts w:asciiTheme="minorHAnsi" w:eastAsiaTheme="minorEastAsia" w:hAnsiTheme="minorHAnsi" w:cstheme="minorBidi"/>
      <w:lang w:val="en-US" w:eastAsia="zh-CN"/>
    </w:rPr>
  </w:style>
  <w:style w:type="paragraph" w:styleId="1">
    <w:name w:val="heading 1"/>
    <w:next w:val="a"/>
    <w:qFormat/>
    <w:rsid w:val="002A362B"/>
    <w:pPr>
      <w:spacing w:beforeAutospacing="1" w:afterAutospacing="1"/>
      <w:outlineLvl w:val="0"/>
    </w:pPr>
    <w:rPr>
      <w:rFonts w:ascii="SimSun" w:hAnsi="SimSun" w:hint="eastAsia"/>
      <w:b/>
      <w:bCs/>
      <w:kern w:val="44"/>
      <w:sz w:val="48"/>
      <w:szCs w:val="48"/>
      <w:lang w:val="en-US" w:eastAsia="zh-CN"/>
    </w:rPr>
  </w:style>
  <w:style w:type="paragraph" w:styleId="2">
    <w:name w:val="heading 2"/>
    <w:basedOn w:val="a"/>
    <w:next w:val="a"/>
    <w:link w:val="2Char"/>
    <w:semiHidden/>
    <w:unhideWhenUsed/>
    <w:qFormat/>
    <w:rsid w:val="001539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semiHidden/>
    <w:unhideWhenUsed/>
    <w:qFormat/>
    <w:rsid w:val="00A54098"/>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A362B"/>
    <w:rPr>
      <w:i/>
      <w:iCs/>
    </w:rPr>
  </w:style>
  <w:style w:type="paragraph" w:styleId="a4">
    <w:name w:val="footer"/>
    <w:basedOn w:val="a"/>
    <w:qFormat/>
    <w:rsid w:val="002A362B"/>
    <w:pPr>
      <w:tabs>
        <w:tab w:val="center" w:pos="4153"/>
        <w:tab w:val="right" w:pos="8306"/>
      </w:tabs>
      <w:snapToGrid w:val="0"/>
    </w:pPr>
    <w:rPr>
      <w:sz w:val="18"/>
      <w:szCs w:val="18"/>
    </w:rPr>
  </w:style>
  <w:style w:type="paragraph" w:styleId="a5">
    <w:name w:val="header"/>
    <w:basedOn w:val="a"/>
    <w:qFormat/>
    <w:rsid w:val="002A362B"/>
    <w:pPr>
      <w:tabs>
        <w:tab w:val="center" w:pos="4153"/>
        <w:tab w:val="right" w:pos="8306"/>
      </w:tabs>
      <w:snapToGrid w:val="0"/>
    </w:pPr>
    <w:rPr>
      <w:sz w:val="18"/>
      <w:szCs w:val="18"/>
    </w:rPr>
  </w:style>
  <w:style w:type="character" w:styleId="Hyperlink">
    <w:name w:val="Hyperlink"/>
    <w:basedOn w:val="a0"/>
    <w:rsid w:val="002A362B"/>
    <w:rPr>
      <w:color w:val="0000FF"/>
      <w:u w:val="single"/>
    </w:rPr>
  </w:style>
  <w:style w:type="paragraph" w:styleId="a6">
    <w:name w:val="Normal (Web)"/>
    <w:uiPriority w:val="99"/>
    <w:qFormat/>
    <w:rsid w:val="002A362B"/>
    <w:pPr>
      <w:spacing w:beforeAutospacing="1" w:afterAutospacing="1"/>
    </w:pPr>
    <w:rPr>
      <w:sz w:val="24"/>
      <w:szCs w:val="24"/>
      <w:lang w:val="en-US" w:eastAsia="zh-CN"/>
    </w:rPr>
  </w:style>
  <w:style w:type="table" w:styleId="a7">
    <w:name w:val="Table Grid"/>
    <w:basedOn w:val="a1"/>
    <w:rsid w:val="002A362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semiHidden/>
    <w:rsid w:val="001539B6"/>
    <w:rPr>
      <w:rFonts w:asciiTheme="majorHAnsi" w:eastAsiaTheme="majorEastAsia" w:hAnsiTheme="majorHAnsi" w:cstheme="majorBidi"/>
      <w:color w:val="2E74B5" w:themeColor="accent1" w:themeShade="BF"/>
      <w:sz w:val="26"/>
      <w:szCs w:val="26"/>
      <w:lang w:val="en-US" w:eastAsia="zh-CN"/>
    </w:rPr>
  </w:style>
  <w:style w:type="paragraph" w:styleId="a8">
    <w:name w:val="List Paragraph"/>
    <w:basedOn w:val="a"/>
    <w:uiPriority w:val="1"/>
    <w:qFormat/>
    <w:rsid w:val="001539B6"/>
    <w:pPr>
      <w:ind w:left="720"/>
      <w:contextualSpacing/>
    </w:pPr>
    <w:rPr>
      <w:rFonts w:eastAsiaTheme="minorHAnsi"/>
      <w:sz w:val="24"/>
      <w:szCs w:val="24"/>
      <w:lang w:val="en-IN" w:eastAsia="en-US"/>
    </w:rPr>
  </w:style>
  <w:style w:type="paragraph" w:styleId="a9">
    <w:name w:val="Document Map"/>
    <w:basedOn w:val="a"/>
    <w:link w:val="Char"/>
    <w:rsid w:val="00D244D0"/>
    <w:rPr>
      <w:rFonts w:ascii="Tahoma" w:hAnsi="Tahoma" w:cs="Tahoma"/>
      <w:sz w:val="16"/>
      <w:szCs w:val="16"/>
    </w:rPr>
  </w:style>
  <w:style w:type="character" w:customStyle="1" w:styleId="Char">
    <w:name w:val="خريطة مستند Char"/>
    <w:basedOn w:val="a0"/>
    <w:link w:val="a9"/>
    <w:rsid w:val="00D244D0"/>
    <w:rPr>
      <w:rFonts w:ascii="Tahoma" w:eastAsiaTheme="minorEastAsia" w:hAnsi="Tahoma" w:cs="Tahoma"/>
      <w:sz w:val="16"/>
      <w:szCs w:val="16"/>
      <w:lang w:val="en-US" w:eastAsia="zh-CN"/>
    </w:rPr>
  </w:style>
  <w:style w:type="paragraph" w:styleId="aa">
    <w:name w:val="Balloon Text"/>
    <w:basedOn w:val="a"/>
    <w:link w:val="Char0"/>
    <w:rsid w:val="00D244D0"/>
    <w:rPr>
      <w:rFonts w:ascii="Tahoma" w:hAnsi="Tahoma" w:cs="Tahoma"/>
      <w:sz w:val="16"/>
      <w:szCs w:val="16"/>
    </w:rPr>
  </w:style>
  <w:style w:type="character" w:customStyle="1" w:styleId="Char0">
    <w:name w:val="نص في بالون Char"/>
    <w:basedOn w:val="a0"/>
    <w:link w:val="aa"/>
    <w:rsid w:val="00D244D0"/>
    <w:rPr>
      <w:rFonts w:ascii="Tahoma" w:eastAsiaTheme="minorEastAsia" w:hAnsi="Tahoma" w:cs="Tahoma"/>
      <w:sz w:val="16"/>
      <w:szCs w:val="16"/>
      <w:lang w:val="en-US" w:eastAsia="zh-CN"/>
    </w:rPr>
  </w:style>
  <w:style w:type="character" w:styleId="ab">
    <w:name w:val="annotation reference"/>
    <w:basedOn w:val="a0"/>
    <w:rsid w:val="00D244D0"/>
    <w:rPr>
      <w:sz w:val="16"/>
      <w:szCs w:val="16"/>
    </w:rPr>
  </w:style>
  <w:style w:type="paragraph" w:styleId="ac">
    <w:name w:val="annotation text"/>
    <w:basedOn w:val="a"/>
    <w:link w:val="Char1"/>
    <w:rsid w:val="00D244D0"/>
  </w:style>
  <w:style w:type="character" w:customStyle="1" w:styleId="Char1">
    <w:name w:val="نص تعليق Char"/>
    <w:basedOn w:val="a0"/>
    <w:link w:val="ac"/>
    <w:rsid w:val="00D244D0"/>
    <w:rPr>
      <w:rFonts w:asciiTheme="minorHAnsi" w:eastAsiaTheme="minorEastAsia" w:hAnsiTheme="minorHAnsi" w:cstheme="minorBidi"/>
      <w:lang w:val="en-US" w:eastAsia="zh-CN"/>
    </w:rPr>
  </w:style>
  <w:style w:type="paragraph" w:styleId="ad">
    <w:name w:val="annotation subject"/>
    <w:basedOn w:val="ac"/>
    <w:next w:val="ac"/>
    <w:link w:val="Char2"/>
    <w:rsid w:val="00D244D0"/>
    <w:rPr>
      <w:b/>
      <w:bCs/>
    </w:rPr>
  </w:style>
  <w:style w:type="character" w:customStyle="1" w:styleId="Char2">
    <w:name w:val="موضوع تعليق Char"/>
    <w:basedOn w:val="Char1"/>
    <w:link w:val="ad"/>
    <w:rsid w:val="00D244D0"/>
    <w:rPr>
      <w:b/>
      <w:bCs/>
    </w:rPr>
  </w:style>
  <w:style w:type="character" w:styleId="ae">
    <w:name w:val="Strong"/>
    <w:basedOn w:val="a0"/>
    <w:uiPriority w:val="22"/>
    <w:qFormat/>
    <w:rsid w:val="00A54098"/>
    <w:rPr>
      <w:b/>
      <w:bCs/>
    </w:rPr>
  </w:style>
  <w:style w:type="character" w:customStyle="1" w:styleId="overflow-hidden">
    <w:name w:val="overflow-hidden"/>
    <w:basedOn w:val="a0"/>
    <w:rsid w:val="00A54098"/>
  </w:style>
  <w:style w:type="character" w:customStyle="1" w:styleId="3Char">
    <w:name w:val="عنوان 3 Char"/>
    <w:basedOn w:val="a0"/>
    <w:link w:val="3"/>
    <w:semiHidden/>
    <w:rsid w:val="00A54098"/>
    <w:rPr>
      <w:rFonts w:asciiTheme="majorHAnsi" w:eastAsiaTheme="majorEastAsia" w:hAnsiTheme="majorHAnsi" w:cstheme="majorBidi"/>
      <w:b/>
      <w:bCs/>
      <w:color w:val="5B9BD5" w:themeColor="accent1"/>
      <w:lang w:val="en-US" w:eastAsia="zh-CN"/>
    </w:rPr>
  </w:style>
</w:styles>
</file>

<file path=word/webSettings.xml><?xml version="1.0" encoding="utf-8"?>
<w:webSettings xmlns:r="http://schemas.openxmlformats.org/officeDocument/2006/relationships" xmlns:w="http://schemas.openxmlformats.org/wordprocessingml/2006/main">
  <w:divs>
    <w:div w:id="387922486">
      <w:bodyDiv w:val="1"/>
      <w:marLeft w:val="0"/>
      <w:marRight w:val="0"/>
      <w:marTop w:val="0"/>
      <w:marBottom w:val="0"/>
      <w:divBdr>
        <w:top w:val="none" w:sz="0" w:space="0" w:color="auto"/>
        <w:left w:val="none" w:sz="0" w:space="0" w:color="auto"/>
        <w:bottom w:val="none" w:sz="0" w:space="0" w:color="auto"/>
        <w:right w:val="none" w:sz="0" w:space="0" w:color="auto"/>
      </w:divBdr>
    </w:div>
    <w:div w:id="898394053">
      <w:bodyDiv w:val="1"/>
      <w:marLeft w:val="0"/>
      <w:marRight w:val="0"/>
      <w:marTop w:val="0"/>
      <w:marBottom w:val="0"/>
      <w:divBdr>
        <w:top w:val="none" w:sz="0" w:space="0" w:color="auto"/>
        <w:left w:val="none" w:sz="0" w:space="0" w:color="auto"/>
        <w:bottom w:val="none" w:sz="0" w:space="0" w:color="auto"/>
        <w:right w:val="none" w:sz="0" w:space="0" w:color="auto"/>
      </w:divBdr>
      <w:divsChild>
        <w:div w:id="208498976">
          <w:marLeft w:val="0"/>
          <w:marRight w:val="0"/>
          <w:marTop w:val="0"/>
          <w:marBottom w:val="0"/>
          <w:divBdr>
            <w:top w:val="none" w:sz="0" w:space="0" w:color="auto"/>
            <w:left w:val="none" w:sz="0" w:space="0" w:color="auto"/>
            <w:bottom w:val="none" w:sz="0" w:space="0" w:color="auto"/>
            <w:right w:val="none" w:sz="0" w:space="0" w:color="auto"/>
          </w:divBdr>
          <w:divsChild>
            <w:div w:id="202208314">
              <w:marLeft w:val="0"/>
              <w:marRight w:val="0"/>
              <w:marTop w:val="0"/>
              <w:marBottom w:val="0"/>
              <w:divBdr>
                <w:top w:val="none" w:sz="0" w:space="0" w:color="auto"/>
                <w:left w:val="none" w:sz="0" w:space="0" w:color="auto"/>
                <w:bottom w:val="none" w:sz="0" w:space="0" w:color="auto"/>
                <w:right w:val="none" w:sz="0" w:space="0" w:color="auto"/>
              </w:divBdr>
              <w:divsChild>
                <w:div w:id="1054162915">
                  <w:marLeft w:val="0"/>
                  <w:marRight w:val="0"/>
                  <w:marTop w:val="0"/>
                  <w:marBottom w:val="0"/>
                  <w:divBdr>
                    <w:top w:val="none" w:sz="0" w:space="0" w:color="auto"/>
                    <w:left w:val="none" w:sz="0" w:space="0" w:color="auto"/>
                    <w:bottom w:val="none" w:sz="0" w:space="0" w:color="auto"/>
                    <w:right w:val="none" w:sz="0" w:space="0" w:color="auto"/>
                  </w:divBdr>
                  <w:divsChild>
                    <w:div w:id="300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22237">
          <w:marLeft w:val="0"/>
          <w:marRight w:val="0"/>
          <w:marTop w:val="0"/>
          <w:marBottom w:val="0"/>
          <w:divBdr>
            <w:top w:val="none" w:sz="0" w:space="0" w:color="auto"/>
            <w:left w:val="none" w:sz="0" w:space="0" w:color="auto"/>
            <w:bottom w:val="none" w:sz="0" w:space="0" w:color="auto"/>
            <w:right w:val="none" w:sz="0" w:space="0" w:color="auto"/>
          </w:divBdr>
          <w:divsChild>
            <w:div w:id="1647589364">
              <w:marLeft w:val="0"/>
              <w:marRight w:val="0"/>
              <w:marTop w:val="0"/>
              <w:marBottom w:val="0"/>
              <w:divBdr>
                <w:top w:val="none" w:sz="0" w:space="0" w:color="auto"/>
                <w:left w:val="none" w:sz="0" w:space="0" w:color="auto"/>
                <w:bottom w:val="none" w:sz="0" w:space="0" w:color="auto"/>
                <w:right w:val="none" w:sz="0" w:space="0" w:color="auto"/>
              </w:divBdr>
              <w:divsChild>
                <w:div w:id="1943800792">
                  <w:marLeft w:val="0"/>
                  <w:marRight w:val="0"/>
                  <w:marTop w:val="0"/>
                  <w:marBottom w:val="0"/>
                  <w:divBdr>
                    <w:top w:val="none" w:sz="0" w:space="0" w:color="auto"/>
                    <w:left w:val="none" w:sz="0" w:space="0" w:color="auto"/>
                    <w:bottom w:val="none" w:sz="0" w:space="0" w:color="auto"/>
                    <w:right w:val="none" w:sz="0" w:space="0" w:color="auto"/>
                  </w:divBdr>
                  <w:divsChild>
                    <w:div w:id="18827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578078">
      <w:bodyDiv w:val="1"/>
      <w:marLeft w:val="0"/>
      <w:marRight w:val="0"/>
      <w:marTop w:val="0"/>
      <w:marBottom w:val="0"/>
      <w:divBdr>
        <w:top w:val="none" w:sz="0" w:space="0" w:color="auto"/>
        <w:left w:val="none" w:sz="0" w:space="0" w:color="auto"/>
        <w:bottom w:val="none" w:sz="0" w:space="0" w:color="auto"/>
        <w:right w:val="none" w:sz="0" w:space="0" w:color="auto"/>
      </w:divBdr>
    </w:div>
    <w:div w:id="1132791950">
      <w:bodyDiv w:val="1"/>
      <w:marLeft w:val="0"/>
      <w:marRight w:val="0"/>
      <w:marTop w:val="0"/>
      <w:marBottom w:val="0"/>
      <w:divBdr>
        <w:top w:val="none" w:sz="0" w:space="0" w:color="auto"/>
        <w:left w:val="none" w:sz="0" w:space="0" w:color="auto"/>
        <w:bottom w:val="none" w:sz="0" w:space="0" w:color="auto"/>
        <w:right w:val="none" w:sz="0" w:space="0" w:color="auto"/>
      </w:divBdr>
    </w:div>
    <w:div w:id="1236162611">
      <w:bodyDiv w:val="1"/>
      <w:marLeft w:val="0"/>
      <w:marRight w:val="0"/>
      <w:marTop w:val="0"/>
      <w:marBottom w:val="0"/>
      <w:divBdr>
        <w:top w:val="none" w:sz="0" w:space="0" w:color="auto"/>
        <w:left w:val="none" w:sz="0" w:space="0" w:color="auto"/>
        <w:bottom w:val="none" w:sz="0" w:space="0" w:color="auto"/>
        <w:right w:val="none" w:sz="0" w:space="0" w:color="auto"/>
      </w:divBdr>
    </w:div>
    <w:div w:id="1746220401">
      <w:bodyDiv w:val="1"/>
      <w:marLeft w:val="0"/>
      <w:marRight w:val="0"/>
      <w:marTop w:val="0"/>
      <w:marBottom w:val="0"/>
      <w:divBdr>
        <w:top w:val="none" w:sz="0" w:space="0" w:color="auto"/>
        <w:left w:val="none" w:sz="0" w:space="0" w:color="auto"/>
        <w:bottom w:val="none" w:sz="0" w:space="0" w:color="auto"/>
        <w:right w:val="none" w:sz="0" w:space="0" w:color="auto"/>
      </w:divBdr>
    </w:div>
    <w:div w:id="1864514739">
      <w:bodyDiv w:val="1"/>
      <w:marLeft w:val="0"/>
      <w:marRight w:val="0"/>
      <w:marTop w:val="0"/>
      <w:marBottom w:val="0"/>
      <w:divBdr>
        <w:top w:val="none" w:sz="0" w:space="0" w:color="auto"/>
        <w:left w:val="none" w:sz="0" w:space="0" w:color="auto"/>
        <w:bottom w:val="none" w:sz="0" w:space="0" w:color="auto"/>
        <w:right w:val="none" w:sz="0" w:space="0" w:color="auto"/>
      </w:divBdr>
      <w:divsChild>
        <w:div w:id="1405105479">
          <w:marLeft w:val="0"/>
          <w:marRight w:val="0"/>
          <w:marTop w:val="0"/>
          <w:marBottom w:val="0"/>
          <w:divBdr>
            <w:top w:val="none" w:sz="0" w:space="0" w:color="auto"/>
            <w:left w:val="none" w:sz="0" w:space="0" w:color="auto"/>
            <w:bottom w:val="none" w:sz="0" w:space="0" w:color="auto"/>
            <w:right w:val="none" w:sz="0" w:space="0" w:color="auto"/>
          </w:divBdr>
          <w:divsChild>
            <w:div w:id="922103617">
              <w:marLeft w:val="0"/>
              <w:marRight w:val="0"/>
              <w:marTop w:val="0"/>
              <w:marBottom w:val="0"/>
              <w:divBdr>
                <w:top w:val="none" w:sz="0" w:space="0" w:color="auto"/>
                <w:left w:val="none" w:sz="0" w:space="0" w:color="auto"/>
                <w:bottom w:val="none" w:sz="0" w:space="0" w:color="auto"/>
                <w:right w:val="none" w:sz="0" w:space="0" w:color="auto"/>
              </w:divBdr>
              <w:divsChild>
                <w:div w:id="1836334446">
                  <w:marLeft w:val="0"/>
                  <w:marRight w:val="0"/>
                  <w:marTop w:val="0"/>
                  <w:marBottom w:val="0"/>
                  <w:divBdr>
                    <w:top w:val="none" w:sz="0" w:space="0" w:color="auto"/>
                    <w:left w:val="none" w:sz="0" w:space="0" w:color="auto"/>
                    <w:bottom w:val="none" w:sz="0" w:space="0" w:color="auto"/>
                    <w:right w:val="none" w:sz="0" w:space="0" w:color="auto"/>
                  </w:divBdr>
                  <w:divsChild>
                    <w:div w:id="144566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19210">
          <w:marLeft w:val="0"/>
          <w:marRight w:val="0"/>
          <w:marTop w:val="0"/>
          <w:marBottom w:val="0"/>
          <w:divBdr>
            <w:top w:val="none" w:sz="0" w:space="0" w:color="auto"/>
            <w:left w:val="none" w:sz="0" w:space="0" w:color="auto"/>
            <w:bottom w:val="none" w:sz="0" w:space="0" w:color="auto"/>
            <w:right w:val="none" w:sz="0" w:space="0" w:color="auto"/>
          </w:divBdr>
          <w:divsChild>
            <w:div w:id="1323580635">
              <w:marLeft w:val="0"/>
              <w:marRight w:val="0"/>
              <w:marTop w:val="0"/>
              <w:marBottom w:val="0"/>
              <w:divBdr>
                <w:top w:val="none" w:sz="0" w:space="0" w:color="auto"/>
                <w:left w:val="none" w:sz="0" w:space="0" w:color="auto"/>
                <w:bottom w:val="none" w:sz="0" w:space="0" w:color="auto"/>
                <w:right w:val="none" w:sz="0" w:space="0" w:color="auto"/>
              </w:divBdr>
              <w:divsChild>
                <w:div w:id="1937211173">
                  <w:marLeft w:val="0"/>
                  <w:marRight w:val="0"/>
                  <w:marTop w:val="0"/>
                  <w:marBottom w:val="0"/>
                  <w:divBdr>
                    <w:top w:val="none" w:sz="0" w:space="0" w:color="auto"/>
                    <w:left w:val="none" w:sz="0" w:space="0" w:color="auto"/>
                    <w:bottom w:val="none" w:sz="0" w:space="0" w:color="auto"/>
                    <w:right w:val="none" w:sz="0" w:space="0" w:color="auto"/>
                  </w:divBdr>
                  <w:divsChild>
                    <w:div w:id="18939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www.semanticscholar.org/author/V.-Zozina/40916722"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ature.com/articles/nrendo.2017.99"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semanticscholar.org/author/Ludmila-Perciuleac/84154998"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nature.com/articles/nrendo.2017.99" TargetMode="External"/><Relationship Id="rId29" Type="http://schemas.openxmlformats.org/officeDocument/2006/relationships/hyperlink" Target="https://www.researchgate.net/journal/Journal-of-Diabetes-Investigation-2040-1124?_tp=eyJjb250ZXh0Ijp7InBhZ2UiOiJwdWJsaWNhdGlvbiIsInByZXZpb3VzUGFnZSI6Il9kaXJlY3QifX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semanticscholar.org/author/A.-Chiriac/2073650208"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hyperlink" Target="https://www.semanticscholar.org/author/S.-Covantev/15380109" TargetMode="External"/><Relationship Id="rId28" Type="http://schemas.openxmlformats.org/officeDocument/2006/relationships/hyperlink" Target="https://www.researchgate.net/journal/Frontiers-in-Endocrinology-1664-2392?_tp=eyJjb250ZXh0Ijp7InBhZ2UiOiJwdWJsaWNhdGlvbiIsInByZXZpb3VzUGFnZSI6Il9kaXJlY3QifX0" TargetMode="Externa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semanticscholar.org/author/N.-Attia/4880183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www.nature.com/nrendo" TargetMode="External"/><Relationship Id="rId27" Type="http://schemas.openxmlformats.org/officeDocument/2006/relationships/hyperlink" Target="https://www.researchgate.net/profile/Salvador-Pertusa-Martinez?_tp=eyJjb250ZXh0Ijp7InBhZ2UiOiJwdWJsaWNhdGlvbiIsInByZXZpb3VzUGFnZSI6Il9kaXJlY3QifX0" TargetMode="External"/><Relationship Id="rId30" Type="http://schemas.openxmlformats.org/officeDocument/2006/relationships/hyperlink" Target="https://www.researchgate.net/scientific-contributions/Valerie-M-Schwitzgebel-38481558?_tp=eyJjb250ZXh0Ijp7InBhZ2UiOiJwdWJsaWNhdGlvbiIsInByZXZpb3VzUGFnZSI6Il9kaXJlY3QifX0" TargetMode="External"/><Relationship Id="rId35"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5573</Words>
  <Characters>31768</Characters>
  <Application>Microsoft Office Word</Application>
  <DocSecurity>0</DocSecurity>
  <Lines>264</Lines>
  <Paragraphs>74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INSERVICE EDUCATION</dc:creator>
  <cp:lastModifiedBy>الحاسب الرقمي</cp:lastModifiedBy>
  <cp:revision>2</cp:revision>
  <dcterms:created xsi:type="dcterms:W3CDTF">2024-12-28T12:19:00Z</dcterms:created>
  <dcterms:modified xsi:type="dcterms:W3CDTF">2024-12-28T12:19:00Z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2057-12.2.0.17119</vt:lpwstr>
  </property>
  <property fmtid="{D5CDD505-2E9C-101B-9397-08002B2CF9AE}" pid="3" name="ICV">
    <vt:lpwstr>57A8A10CE1C74255BDDD81DDF451C37F_11</vt:lpwstr>
  </property>
  <property fmtid="{D5CDD505-2E9C-101B-9397-08002B2CF9AE}" pid="4" name="GrammarlyDocumentId">
    <vt:lpwstr>6e734d0e88808ec7d9a735fbe078eab15258b9cb224c011692f2217649f28b2d</vt:lpwstr>
  </property>
</Properties>
</file>