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526EA" w14:textId="77777777" w:rsidR="000A10BB" w:rsidRPr="005C504F" w:rsidRDefault="000A10BB" w:rsidP="000A10BB">
      <w:pPr>
        <w:shd w:val="clear" w:color="auto" w:fill="FFFFFF"/>
        <w:spacing w:before="200" w:after="200" w:line="360" w:lineRule="auto"/>
        <w:jc w:val="center"/>
        <w:rPr>
          <w:rFonts w:ascii="Times New Roman" w:eastAsia="Times New Roman" w:hAnsi="Times New Roman" w:cs="Times New Roman"/>
          <w:b/>
          <w:sz w:val="40"/>
          <w:szCs w:val="40"/>
        </w:rPr>
      </w:pPr>
      <w:r w:rsidRPr="005C504F">
        <w:rPr>
          <w:rFonts w:ascii="Times New Roman" w:eastAsia="Times New Roman" w:hAnsi="Times New Roman" w:cs="Times New Roman"/>
          <w:b/>
          <w:sz w:val="40"/>
          <w:szCs w:val="40"/>
        </w:rPr>
        <w:t xml:space="preserve">An Assessment of </w:t>
      </w:r>
      <w:r w:rsidRPr="005C504F">
        <w:rPr>
          <w:rFonts w:ascii="Times New Roman" w:hAnsi="Times New Roman" w:cs="Times New Roman"/>
          <w:b/>
          <w:bCs/>
          <w:sz w:val="40"/>
          <w:szCs w:val="40"/>
          <w:lang w:val="en-GB"/>
        </w:rPr>
        <w:t>Anti-diabetic</w:t>
      </w:r>
      <w:r w:rsidRPr="005C504F">
        <w:rPr>
          <w:rFonts w:ascii="Times New Roman" w:eastAsia="Times New Roman" w:hAnsi="Times New Roman" w:cs="Times New Roman"/>
          <w:b/>
          <w:sz w:val="40"/>
          <w:szCs w:val="40"/>
        </w:rPr>
        <w:t xml:space="preserve"> Activity of </w:t>
      </w:r>
      <w:r w:rsidRPr="005C504F">
        <w:rPr>
          <w:rFonts w:ascii="Times New Roman" w:hAnsi="Times New Roman" w:cs="Times New Roman"/>
          <w:b/>
          <w:i/>
          <w:color w:val="000000"/>
          <w:sz w:val="40"/>
          <w:szCs w:val="40"/>
        </w:rPr>
        <w:t>Ocimum sanctum</w:t>
      </w:r>
      <w:r w:rsidRPr="005C504F">
        <w:rPr>
          <w:rFonts w:ascii="Times New Roman" w:eastAsia="Times New Roman" w:hAnsi="Times New Roman" w:cs="Times New Roman"/>
          <w:b/>
          <w:sz w:val="40"/>
          <w:szCs w:val="40"/>
        </w:rPr>
        <w:t xml:space="preserve"> Extract </w:t>
      </w:r>
      <w:r w:rsidRPr="005C504F">
        <w:rPr>
          <w:rFonts w:ascii="Times New Roman" w:hAnsi="Times New Roman" w:cs="Times New Roman"/>
          <w:b/>
          <w:sz w:val="40"/>
          <w:szCs w:val="40"/>
          <w:lang w:val="en-GB"/>
        </w:rPr>
        <w:t>in Alloxan-induced Rat Model</w:t>
      </w:r>
    </w:p>
    <w:p w14:paraId="66B52051" w14:textId="77777777" w:rsidR="000A10BB" w:rsidRDefault="000A10BB" w:rsidP="000A10BB">
      <w:pPr>
        <w:pStyle w:val="NormalWeb"/>
        <w:spacing w:before="0" w:beforeAutospacing="0" w:after="0" w:afterAutospacing="0" w:line="360" w:lineRule="auto"/>
        <w:jc w:val="center"/>
        <w:rPr>
          <w:b/>
          <w:color w:val="000000"/>
        </w:rPr>
      </w:pPr>
    </w:p>
    <w:p w14:paraId="33E055AC" w14:textId="77777777" w:rsidR="00686E68" w:rsidRDefault="00686E68" w:rsidP="000A10BB">
      <w:pPr>
        <w:pStyle w:val="NormalWeb"/>
        <w:spacing w:before="0" w:beforeAutospacing="0" w:after="0" w:afterAutospacing="0" w:line="360" w:lineRule="auto"/>
        <w:jc w:val="center"/>
        <w:rPr>
          <w:b/>
          <w:color w:val="000000"/>
        </w:rPr>
      </w:pPr>
    </w:p>
    <w:p w14:paraId="79E491E3" w14:textId="77777777" w:rsidR="00686E68" w:rsidRDefault="00686E68" w:rsidP="000A10BB">
      <w:pPr>
        <w:pStyle w:val="NormalWeb"/>
        <w:spacing w:before="0" w:beforeAutospacing="0" w:after="0" w:afterAutospacing="0" w:line="360" w:lineRule="auto"/>
        <w:jc w:val="center"/>
        <w:rPr>
          <w:b/>
          <w:color w:val="000000"/>
        </w:rPr>
      </w:pPr>
    </w:p>
    <w:p w14:paraId="19BFEE93" w14:textId="77777777" w:rsidR="00686E68" w:rsidRDefault="00686E68" w:rsidP="000A10BB">
      <w:pPr>
        <w:pStyle w:val="NormalWeb"/>
        <w:spacing w:before="0" w:beforeAutospacing="0" w:after="0" w:afterAutospacing="0" w:line="360" w:lineRule="auto"/>
        <w:jc w:val="center"/>
        <w:rPr>
          <w:b/>
          <w:color w:val="000000"/>
        </w:rPr>
      </w:pPr>
    </w:p>
    <w:p w14:paraId="4DA5B6E4" w14:textId="77777777" w:rsidR="000A10BB" w:rsidRDefault="000A10BB" w:rsidP="000A10BB">
      <w:pPr>
        <w:pStyle w:val="NormalWeb"/>
        <w:spacing w:before="0" w:beforeAutospacing="0" w:after="0" w:afterAutospacing="0" w:line="360" w:lineRule="auto"/>
        <w:jc w:val="center"/>
        <w:rPr>
          <w:b/>
          <w:color w:val="000000"/>
        </w:rPr>
      </w:pPr>
    </w:p>
    <w:p w14:paraId="69661F25" w14:textId="77777777" w:rsidR="000A10BB" w:rsidRDefault="000A10BB" w:rsidP="000A10BB">
      <w:pPr>
        <w:pStyle w:val="NormalWeb"/>
        <w:spacing w:before="0" w:beforeAutospacing="0" w:after="0" w:afterAutospacing="0" w:line="360" w:lineRule="auto"/>
        <w:rPr>
          <w:b/>
          <w:color w:val="000000"/>
        </w:rPr>
      </w:pPr>
      <w:r w:rsidRPr="0024475D">
        <w:rPr>
          <w:b/>
          <w:color w:val="000000"/>
        </w:rPr>
        <w:t>Abstract</w:t>
      </w:r>
    </w:p>
    <w:p w14:paraId="0DC5B1E0" w14:textId="77777777" w:rsidR="000A10BB" w:rsidRPr="00CD4B1B" w:rsidRDefault="000A10BB" w:rsidP="000A10BB">
      <w:pPr>
        <w:shd w:val="clear" w:color="auto" w:fill="FFFFFF"/>
        <w:spacing w:after="0" w:line="360" w:lineRule="auto"/>
        <w:jc w:val="both"/>
        <w:outlineLvl w:val="2"/>
        <w:rPr>
          <w:rFonts w:ascii="Times New Roman" w:eastAsia="Times New Roman" w:hAnsi="Times New Roman" w:cs="Times New Roman"/>
          <w:bCs/>
          <w:sz w:val="24"/>
          <w:szCs w:val="24"/>
        </w:rPr>
      </w:pPr>
      <w:r w:rsidRPr="00CD4B1B">
        <w:rPr>
          <w:rFonts w:ascii="Times New Roman" w:hAnsi="Times New Roman" w:cs="Times New Roman"/>
          <w:color w:val="000000"/>
          <w:sz w:val="24"/>
          <w:szCs w:val="24"/>
        </w:rPr>
        <w:t xml:space="preserve">Herbal medicine has been utilized by people to cure medical conditions since the beginning of civilisation. The purpose of this study is to assess Ocimum sanctum's effectiveness as an anti-diabetic medication and how it affects lipid profiles. We used the alloxan-induced diabetes model to evaluate the anti-diabetic medication's effectiveness. Compared to the 300, 600, and 900 mg/kg doses, only the 900 mg/kg dosage showed statistically significant (p &lt; 0.05) antidiabetic activity. Despite a minor decrease in HDL, LDL, and total cholesterol, no group's results were statistically significant. </w:t>
      </w:r>
      <w:r w:rsidRPr="00CD4B1B">
        <w:rPr>
          <w:rFonts w:ascii="Times New Roman" w:eastAsia="Times New Roman" w:hAnsi="Times New Roman" w:cs="Times New Roman"/>
          <w:color w:val="000000"/>
          <w:sz w:val="24"/>
          <w:szCs w:val="24"/>
        </w:rPr>
        <w:t>Statistically significant findings (p &lt; 0.05) were seen for SGPT in groups 5 and 6 at doses of 600 and 900 mg/kg for triglyceride, SGPT, and SGOT. In the kidney function test, urea exhibited a statistically significant finding of 92.08±6.52* in group 6 at a dosage of 900 mg/kg.  Regarding creatinine levels, groups 5 and 6 exhibited statistically significant results at the 600 and 900 mg/kg doses, with values of 2.23±0.70* and 1.83±0.58*, respectively.</w:t>
      </w:r>
    </w:p>
    <w:p w14:paraId="74459346" w14:textId="77777777" w:rsidR="000A10BB" w:rsidRPr="0024475D" w:rsidRDefault="000A10BB" w:rsidP="000A10BB">
      <w:pPr>
        <w:pStyle w:val="NormalWeb"/>
        <w:spacing w:before="0" w:beforeAutospacing="0" w:after="0" w:afterAutospacing="0" w:line="360" w:lineRule="auto"/>
        <w:jc w:val="both"/>
        <w:rPr>
          <w:b/>
          <w:color w:val="000000"/>
        </w:rPr>
      </w:pPr>
    </w:p>
    <w:p w14:paraId="2C2FC769"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 xml:space="preserve">Keywords: </w:t>
      </w:r>
      <w:r w:rsidRPr="0024475D">
        <w:rPr>
          <w:i/>
          <w:iCs/>
          <w:color w:val="222222"/>
          <w:shd w:val="clear" w:color="auto" w:fill="FFFFFF"/>
        </w:rPr>
        <w:t>Ocimum sanctum</w:t>
      </w:r>
      <w:r w:rsidRPr="0024475D">
        <w:rPr>
          <w:bCs/>
          <w:i/>
          <w:iCs/>
          <w:color w:val="000000"/>
        </w:rPr>
        <w:t xml:space="preserve">, </w:t>
      </w:r>
      <w:r w:rsidRPr="0024475D">
        <w:rPr>
          <w:bCs/>
          <w:iCs/>
          <w:color w:val="000000"/>
        </w:rPr>
        <w:t>Herbal medicine, Antidiabetic, Creatinine</w:t>
      </w:r>
      <w:r w:rsidRPr="0024475D">
        <w:rPr>
          <w:bCs/>
          <w:i/>
          <w:iCs/>
          <w:color w:val="000000"/>
        </w:rPr>
        <w:t>,</w:t>
      </w:r>
      <w:r w:rsidRPr="0024475D">
        <w:rPr>
          <w:color w:val="000000"/>
        </w:rPr>
        <w:t xml:space="preserve"> Diabetes mellitus.</w:t>
      </w:r>
    </w:p>
    <w:p w14:paraId="4001DF09" w14:textId="77777777" w:rsidR="000A10BB" w:rsidRPr="0024475D" w:rsidRDefault="000A10BB" w:rsidP="000A10BB">
      <w:pPr>
        <w:pStyle w:val="NormalWeb"/>
        <w:spacing w:before="0" w:beforeAutospacing="0" w:after="0" w:afterAutospacing="0" w:line="360" w:lineRule="auto"/>
        <w:jc w:val="both"/>
        <w:rPr>
          <w:b/>
          <w:color w:val="000000"/>
        </w:rPr>
      </w:pPr>
    </w:p>
    <w:p w14:paraId="22D63895" w14:textId="77777777" w:rsidR="000A10BB" w:rsidRPr="0024475D" w:rsidRDefault="000A10BB" w:rsidP="000A10BB">
      <w:pPr>
        <w:pStyle w:val="NormalWeb"/>
        <w:spacing w:before="0" w:beforeAutospacing="0" w:after="0" w:afterAutospacing="0" w:line="360" w:lineRule="auto"/>
        <w:jc w:val="both"/>
        <w:rPr>
          <w:b/>
          <w:color w:val="000000"/>
        </w:rPr>
      </w:pPr>
    </w:p>
    <w:p w14:paraId="0F457D94" w14:textId="77777777" w:rsidR="000A10BB" w:rsidRPr="0024475D" w:rsidRDefault="000A10BB" w:rsidP="000A10BB">
      <w:pPr>
        <w:pStyle w:val="NormalWeb"/>
        <w:spacing w:before="0" w:beforeAutospacing="0" w:after="0" w:afterAutospacing="0" w:line="360" w:lineRule="auto"/>
        <w:jc w:val="both"/>
        <w:rPr>
          <w:b/>
          <w:color w:val="000000"/>
        </w:rPr>
      </w:pPr>
    </w:p>
    <w:p w14:paraId="77EF5B3F" w14:textId="77777777" w:rsidR="000A10BB" w:rsidRPr="0024475D" w:rsidRDefault="000A10BB" w:rsidP="000A10BB">
      <w:pPr>
        <w:pStyle w:val="NormalWeb"/>
        <w:spacing w:before="0" w:beforeAutospacing="0" w:after="0" w:afterAutospacing="0" w:line="360" w:lineRule="auto"/>
        <w:jc w:val="both"/>
        <w:rPr>
          <w:b/>
          <w:color w:val="000000"/>
        </w:rPr>
      </w:pPr>
    </w:p>
    <w:p w14:paraId="348C80D7" w14:textId="77777777" w:rsidR="000A10BB" w:rsidRPr="0024475D" w:rsidRDefault="000A10BB" w:rsidP="000A10BB">
      <w:pPr>
        <w:pStyle w:val="NormalWeb"/>
        <w:spacing w:before="0" w:beforeAutospacing="0" w:after="0" w:afterAutospacing="0" w:line="360" w:lineRule="auto"/>
        <w:jc w:val="both"/>
        <w:rPr>
          <w:b/>
          <w:color w:val="000000"/>
        </w:rPr>
      </w:pPr>
    </w:p>
    <w:p w14:paraId="0D3782D0" w14:textId="77777777" w:rsidR="000A10BB" w:rsidRPr="0024475D" w:rsidRDefault="000A10BB" w:rsidP="000A10BB">
      <w:pPr>
        <w:pStyle w:val="NormalWeb"/>
        <w:spacing w:before="0" w:beforeAutospacing="0" w:after="0" w:afterAutospacing="0" w:line="360" w:lineRule="auto"/>
        <w:jc w:val="both"/>
        <w:rPr>
          <w:b/>
          <w:color w:val="000000"/>
        </w:rPr>
      </w:pPr>
    </w:p>
    <w:p w14:paraId="25A21CB6" w14:textId="77777777" w:rsidR="000A10BB" w:rsidRPr="0024475D" w:rsidRDefault="000A10BB" w:rsidP="000A10BB">
      <w:pPr>
        <w:pStyle w:val="NormalWeb"/>
        <w:spacing w:before="0" w:beforeAutospacing="0" w:after="0" w:afterAutospacing="0" w:line="360" w:lineRule="auto"/>
        <w:jc w:val="both"/>
        <w:rPr>
          <w:b/>
          <w:color w:val="000000"/>
        </w:rPr>
      </w:pPr>
    </w:p>
    <w:p w14:paraId="57343FF7" w14:textId="77777777" w:rsidR="000A10BB" w:rsidRPr="0024475D" w:rsidRDefault="000A10BB" w:rsidP="000A10BB">
      <w:pPr>
        <w:pStyle w:val="NormalWeb"/>
        <w:spacing w:before="0" w:beforeAutospacing="0" w:after="0" w:afterAutospacing="0" w:line="360" w:lineRule="auto"/>
        <w:jc w:val="both"/>
        <w:rPr>
          <w:b/>
          <w:color w:val="000000"/>
        </w:rPr>
      </w:pPr>
    </w:p>
    <w:p w14:paraId="0A86DC5F" w14:textId="77777777" w:rsidR="000A10BB" w:rsidRPr="0024475D" w:rsidRDefault="000A10BB" w:rsidP="000A10BB">
      <w:pPr>
        <w:pStyle w:val="NormalWeb"/>
        <w:spacing w:before="0" w:beforeAutospacing="0" w:after="0" w:afterAutospacing="0" w:line="360" w:lineRule="auto"/>
        <w:jc w:val="both"/>
        <w:rPr>
          <w:b/>
          <w:color w:val="000000"/>
        </w:rPr>
      </w:pPr>
    </w:p>
    <w:p w14:paraId="72C0E2BA" w14:textId="77777777" w:rsidR="000A10BB" w:rsidRPr="0024475D" w:rsidRDefault="000A10BB" w:rsidP="000A10BB">
      <w:pPr>
        <w:pStyle w:val="NormalWeb"/>
        <w:spacing w:before="0" w:beforeAutospacing="0" w:after="0" w:afterAutospacing="0" w:line="360" w:lineRule="auto"/>
        <w:jc w:val="both"/>
        <w:rPr>
          <w:b/>
          <w:color w:val="000000"/>
        </w:rPr>
      </w:pPr>
    </w:p>
    <w:p w14:paraId="6CC6FEF1" w14:textId="77777777" w:rsidR="000A10BB" w:rsidRPr="0024475D" w:rsidRDefault="000A10BB" w:rsidP="000A10BB">
      <w:pPr>
        <w:pStyle w:val="NormalWeb"/>
        <w:spacing w:before="0" w:beforeAutospacing="0" w:after="0" w:afterAutospacing="0" w:line="360" w:lineRule="auto"/>
        <w:jc w:val="both"/>
        <w:rPr>
          <w:b/>
          <w:color w:val="000000"/>
        </w:rPr>
      </w:pPr>
    </w:p>
    <w:p w14:paraId="292F49AE" w14:textId="77777777" w:rsidR="000A10BB" w:rsidRDefault="000A10BB" w:rsidP="000A10BB">
      <w:pPr>
        <w:pStyle w:val="NormalWeb"/>
        <w:spacing w:before="0" w:beforeAutospacing="0" w:after="0" w:afterAutospacing="0" w:line="360" w:lineRule="auto"/>
        <w:jc w:val="both"/>
        <w:rPr>
          <w:b/>
          <w:color w:val="000000"/>
        </w:rPr>
      </w:pPr>
    </w:p>
    <w:p w14:paraId="162A61DE" w14:textId="77777777" w:rsidR="000A10BB" w:rsidRDefault="000A10BB" w:rsidP="000A10BB">
      <w:pPr>
        <w:pStyle w:val="NormalWeb"/>
        <w:spacing w:before="0" w:beforeAutospacing="0" w:after="0" w:afterAutospacing="0" w:line="360" w:lineRule="auto"/>
        <w:jc w:val="both"/>
        <w:rPr>
          <w:b/>
          <w:color w:val="000000"/>
        </w:rPr>
      </w:pPr>
    </w:p>
    <w:p w14:paraId="72F94A53" w14:textId="77777777" w:rsidR="000A10BB" w:rsidRDefault="000A10BB" w:rsidP="000A10BB">
      <w:pPr>
        <w:pStyle w:val="NormalWeb"/>
        <w:spacing w:before="0" w:beforeAutospacing="0" w:after="0" w:afterAutospacing="0" w:line="360" w:lineRule="auto"/>
        <w:jc w:val="both"/>
        <w:rPr>
          <w:b/>
          <w:color w:val="000000"/>
        </w:rPr>
      </w:pPr>
    </w:p>
    <w:p w14:paraId="60A559B2" w14:textId="77777777" w:rsidR="000A10BB" w:rsidRDefault="000A10BB" w:rsidP="000A10BB">
      <w:pPr>
        <w:pStyle w:val="NormalWeb"/>
        <w:spacing w:before="0" w:beforeAutospacing="0" w:after="0" w:afterAutospacing="0" w:line="360" w:lineRule="auto"/>
        <w:jc w:val="both"/>
        <w:rPr>
          <w:b/>
          <w:color w:val="000000"/>
        </w:rPr>
      </w:pPr>
    </w:p>
    <w:p w14:paraId="426EF222" w14:textId="77777777" w:rsidR="000A10BB" w:rsidRDefault="000A10BB" w:rsidP="000A10BB">
      <w:pPr>
        <w:pStyle w:val="NormalWeb"/>
        <w:spacing w:before="0" w:beforeAutospacing="0" w:after="0" w:afterAutospacing="0" w:line="360" w:lineRule="auto"/>
        <w:jc w:val="both"/>
        <w:rPr>
          <w:b/>
          <w:color w:val="000000"/>
        </w:rPr>
      </w:pPr>
    </w:p>
    <w:p w14:paraId="354BCE7B" w14:textId="77777777" w:rsidR="000A10BB" w:rsidRDefault="000A10BB" w:rsidP="000A10BB">
      <w:pPr>
        <w:pStyle w:val="NormalWeb"/>
        <w:spacing w:before="0" w:beforeAutospacing="0" w:after="0" w:afterAutospacing="0" w:line="360" w:lineRule="auto"/>
        <w:jc w:val="both"/>
        <w:rPr>
          <w:b/>
          <w:color w:val="000000"/>
        </w:rPr>
      </w:pPr>
    </w:p>
    <w:p w14:paraId="383D0D24"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Introduction</w:t>
      </w:r>
    </w:p>
    <w:p w14:paraId="192DEA5C" w14:textId="77777777" w:rsidR="000A10BB" w:rsidRPr="0024475D"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r w:rsidRPr="00CD4B1B">
        <w:rPr>
          <w:b w:val="0"/>
          <w:bCs w:val="0"/>
          <w:color w:val="000000"/>
          <w:sz w:val="24"/>
          <w:szCs w:val="24"/>
        </w:rPr>
        <w:t xml:space="preserve">A metabolic disease known as diabetes mellitus (DM) is characterised by consistently high blood glucose levels (BGL) that are brought on by either insufficient insulin production or action in target tissues. All types of diabetes mellitus are characterised by persistent microvascular (retinopathy, neuropathy, and nephropathy) and macrovascular (diseases of the coronary and peripheral arteries and stroke) issues linked to excessive blood sugar. Sometimes discovered at an advanced stage or without adequate medical management, these can cause organ damage and death [1]. The largest glandular organ, the liver, controls the majority of bodily physiological processes. Multiple times a day, the liver is the organ in charge of absorbing a person's whole blood volume. It is necessary for human metabolism </w:t>
      </w:r>
      <w:r w:rsidRPr="0024475D">
        <w:rPr>
          <w:b w:val="0"/>
          <w:bCs w:val="0"/>
          <w:color w:val="000000"/>
          <w:sz w:val="24"/>
          <w:szCs w:val="24"/>
        </w:rPr>
        <w:t>[2]. Excessive alcohol intake, substance dependence, exposure to some hazardous substances, or infection by viruses or parasites may result in increased levels of reactive oxygen species (ROS), including OH, H</w:t>
      </w:r>
      <w:r w:rsidRPr="0024475D">
        <w:rPr>
          <w:b w:val="0"/>
          <w:bCs w:val="0"/>
          <w:color w:val="000000"/>
          <w:sz w:val="24"/>
          <w:szCs w:val="24"/>
          <w:vertAlign w:val="subscript"/>
        </w:rPr>
        <w:t>2</w:t>
      </w:r>
      <w:r w:rsidRPr="0024475D">
        <w:rPr>
          <w:b w:val="0"/>
          <w:bCs w:val="0"/>
          <w:color w:val="000000"/>
          <w:sz w:val="24"/>
          <w:szCs w:val="24"/>
        </w:rPr>
        <w:t>O</w:t>
      </w:r>
      <w:r w:rsidRPr="0024475D">
        <w:rPr>
          <w:b w:val="0"/>
          <w:bCs w:val="0"/>
          <w:color w:val="000000"/>
          <w:sz w:val="24"/>
          <w:szCs w:val="24"/>
          <w:vertAlign w:val="subscript"/>
        </w:rPr>
        <w:t>2</w:t>
      </w:r>
      <w:r w:rsidRPr="0024475D">
        <w:rPr>
          <w:b w:val="0"/>
          <w:bCs w:val="0"/>
          <w:color w:val="000000"/>
          <w:sz w:val="24"/>
          <w:szCs w:val="24"/>
        </w:rPr>
        <w:t>, and O</w:t>
      </w:r>
      <w:r w:rsidRPr="0024475D">
        <w:rPr>
          <w:b w:val="0"/>
          <w:bCs w:val="0"/>
          <w:color w:val="000000"/>
          <w:sz w:val="24"/>
          <w:szCs w:val="24"/>
          <w:vertAlign w:val="subscript"/>
        </w:rPr>
        <w:t>2</w:t>
      </w:r>
      <w:r w:rsidRPr="0024475D">
        <w:rPr>
          <w:b w:val="0"/>
          <w:bCs w:val="0"/>
          <w:color w:val="000000"/>
          <w:sz w:val="24"/>
          <w:szCs w:val="24"/>
        </w:rPr>
        <w:t xml:space="preserve"> [3]. This might result in hepatocellular damage. The Centers for Disease Control and Prevention performed a study involving 1,492 doctors providing ambulatory care in non-governmental institutions. </w:t>
      </w:r>
      <w:commentRangeStart w:id="0"/>
      <w:r w:rsidRPr="0024475D">
        <w:rPr>
          <w:b w:val="0"/>
          <w:bCs w:val="0"/>
          <w:color w:val="000000"/>
          <w:sz w:val="24"/>
          <w:szCs w:val="24"/>
        </w:rPr>
        <w:t>The study revealed that hyperlipidemia is the second most prevalent chronic illness among these physicians, with hypertension being the only condition they encounter more frequently</w:t>
      </w:r>
      <w:commentRangeEnd w:id="0"/>
      <w:r w:rsidR="009951CC">
        <w:rPr>
          <w:rStyle w:val="CommentReference"/>
          <w:rFonts w:asciiTheme="minorHAnsi" w:eastAsiaTheme="minorHAnsi" w:hAnsiTheme="minorHAnsi" w:cstheme="minorBidi"/>
          <w:b w:val="0"/>
          <w:bCs w:val="0"/>
        </w:rPr>
        <w:commentReference w:id="0"/>
      </w:r>
      <w:r w:rsidRPr="0024475D">
        <w:rPr>
          <w:b w:val="0"/>
          <w:bCs w:val="0"/>
          <w:color w:val="000000"/>
          <w:sz w:val="24"/>
          <w:szCs w:val="24"/>
        </w:rPr>
        <w:t xml:space="preserve"> [4]. </w:t>
      </w:r>
      <w:r w:rsidRPr="00CD4B1B">
        <w:rPr>
          <w:b w:val="0"/>
          <w:bCs w:val="0"/>
          <w:color w:val="000000"/>
          <w:sz w:val="24"/>
          <w:szCs w:val="24"/>
        </w:rPr>
        <w:t xml:space="preserve">According to the studies, eating too many high-fat meals is the primary cause of hyperlipidaemia [5]. The metabolism of commonly given anti-hyperlipidemic drugs, such as atorvastatin, pravastatin, fluvastatin, simvastatin, lovastatin, and rosuvastatin, depends on the liver. Consequently, these drugs have very limited bioavailability [6]. Three-hydroxy-3-methylglutaryl-coenzyme A reductase (HMG-CoAR) may be momentarily inhibited by statins. </w:t>
      </w:r>
      <w:r w:rsidRPr="00CD4B1B">
        <w:rPr>
          <w:b w:val="0"/>
          <w:bCs w:val="0"/>
          <w:color w:val="000000"/>
          <w:sz w:val="24"/>
          <w:szCs w:val="24"/>
        </w:rPr>
        <w:lastRenderedPageBreak/>
        <w:t>Cholesterol levels are decreased by this enzyme. This makes it possible for the cells to produce less cholesterol. The pharmacological activity of statins is based on their ability to enter hepat</w:t>
      </w:r>
      <w:r>
        <w:rPr>
          <w:b w:val="0"/>
          <w:bCs w:val="0"/>
          <w:color w:val="000000"/>
          <w:sz w:val="24"/>
          <w:szCs w:val="24"/>
        </w:rPr>
        <w:t>ocytes and inhibit HMG-CoAR [7]</w:t>
      </w:r>
      <w:r w:rsidRPr="0024475D">
        <w:rPr>
          <w:b w:val="0"/>
          <w:bCs w:val="0"/>
          <w:color w:val="000000"/>
          <w:sz w:val="24"/>
          <w:szCs w:val="24"/>
        </w:rPr>
        <w:t xml:space="preserve">. Statin-associated muscle symptoms (SAMS), sometimes referred to as muscular complications, are the principal adverse effects that restrict the use of statins. Two other potentially harmful outcomes are the development of diabetes mellitus (DM) and problems impacting the central nervous system [8]. These synthetic medications not only exhibit significant side effects but are also costly, possibly imposing financial burdens on patients who need ongoing administration during the whole treatment regimen [9]. </w:t>
      </w:r>
      <w:commentRangeStart w:id="1"/>
      <w:r w:rsidRPr="0024475D">
        <w:rPr>
          <w:b w:val="0"/>
          <w:bCs w:val="0"/>
          <w:color w:val="000000"/>
          <w:sz w:val="24"/>
          <w:szCs w:val="24"/>
        </w:rPr>
        <w:t xml:space="preserve">Consequently, it is essential to formulate highly efficacious antihyperlipidemic agents with low adverse effects. </w:t>
      </w:r>
      <w:commentRangeEnd w:id="1"/>
      <w:r w:rsidR="009951CC">
        <w:rPr>
          <w:rStyle w:val="CommentReference"/>
          <w:rFonts w:asciiTheme="minorHAnsi" w:eastAsiaTheme="minorHAnsi" w:hAnsiTheme="minorHAnsi" w:cstheme="minorBidi"/>
          <w:b w:val="0"/>
          <w:bCs w:val="0"/>
        </w:rPr>
        <w:commentReference w:id="1"/>
      </w:r>
    </w:p>
    <w:p w14:paraId="11847B74" w14:textId="77777777" w:rsidR="000A10BB" w:rsidRPr="00652D78"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r w:rsidRPr="00CD4B1B">
        <w:rPr>
          <w:b w:val="0"/>
          <w:bCs w:val="0"/>
          <w:color w:val="000000"/>
          <w:sz w:val="24"/>
          <w:szCs w:val="24"/>
        </w:rPr>
        <w:t>In order to identify and synthesise novel medications, plants are essential [10]. They serve as a valuable and abundant source of naturally occurring chemicals that can be used in medicine. Certain chemical compounds derived from medicinal plants may have therapeutic properties, according to experts in the field. To effectively cure a variety of ailments, researchers are therefore always looking for novel herbal remedies and other drugs produced from plants [4]. Plants, nutritional supplements, and alternative medicinal techniques have long been employed as traditional remedies in a number of nations throughout the world. Traditional medicine has become increasingly popular in recent years, and many people all around the country now use it as their main source of medical care [11].</w:t>
      </w:r>
      <w:r>
        <w:rPr>
          <w:b w:val="0"/>
          <w:bCs w:val="0"/>
          <w:color w:val="000000"/>
          <w:sz w:val="24"/>
          <w:szCs w:val="24"/>
        </w:rPr>
        <w:t xml:space="preserve"> </w:t>
      </w:r>
      <w:r w:rsidRPr="00652D78">
        <w:rPr>
          <w:b w:val="0"/>
          <w:color w:val="000000"/>
          <w:spacing w:val="2"/>
          <w:sz w:val="24"/>
          <w:szCs w:val="24"/>
        </w:rPr>
        <w:t>A diverse range of chemical compounds is found in medicinal plants, which allows them to exhibit various pharmacological and therapeutic effects. These compounds consist of multiple elements, including alkaloids, glycosides, essential oils, saponins, terpenoids, resins, plant lipids, and tanning agents [12–14]. The precise regulation of chemical concentrations can be achieved through genetically modified plants, facilitating the desired medicinal outcome. One promising application of reverse genetics is the enhancement of secondary metabolite production, such as alkaloid synthesis [15]. Advances in scientific research globally have led to increased investigation into the medicinal characteristics of different plant species [16</w:t>
      </w:r>
      <w:proofErr w:type="gramStart"/>
      <w:r w:rsidRPr="00652D78">
        <w:rPr>
          <w:b w:val="0"/>
          <w:color w:val="000000"/>
          <w:spacing w:val="2"/>
          <w:sz w:val="24"/>
          <w:szCs w:val="24"/>
        </w:rPr>
        <w:t>].</w:t>
      </w:r>
      <w:r w:rsidRPr="00652D78">
        <w:rPr>
          <w:b w:val="0"/>
          <w:bCs w:val="0"/>
          <w:color w:val="000000"/>
          <w:sz w:val="24"/>
          <w:szCs w:val="24"/>
        </w:rPr>
        <w:t>.</w:t>
      </w:r>
      <w:proofErr w:type="gramEnd"/>
      <w:r w:rsidRPr="0024475D">
        <w:rPr>
          <w:b w:val="0"/>
          <w:bCs w:val="0"/>
          <w:color w:val="000000"/>
          <w:sz w:val="24"/>
          <w:szCs w:val="24"/>
        </w:rPr>
        <w:t xml:space="preserve"> Plants are gaining popularity because of their intrinsic safety, robust pharmacological attributes, and cost efficiency relative to manufactured medications. People often revere </w:t>
      </w:r>
      <w:r w:rsidRPr="0024475D">
        <w:rPr>
          <w:b w:val="0"/>
          <w:bCs w:val="0"/>
          <w:i/>
          <w:color w:val="000000"/>
          <w:sz w:val="24"/>
          <w:szCs w:val="24"/>
        </w:rPr>
        <w:t>Ocimum sanctum</w:t>
      </w:r>
      <w:r w:rsidRPr="0024475D">
        <w:rPr>
          <w:b w:val="0"/>
          <w:bCs w:val="0"/>
          <w:color w:val="000000"/>
          <w:sz w:val="24"/>
          <w:szCs w:val="24"/>
        </w:rPr>
        <w:t xml:space="preserve"> (L), also known as Tulsi, as the "Queen of herbs" and the "Elixir of life." This sacred plant, part of the Lamiaceae family, is renowned for its fragrant constituents and pharmacological attributes [17]. The Charaka Samhita, an ancient </w:t>
      </w:r>
      <w:r w:rsidRPr="0024475D">
        <w:rPr>
          <w:b w:val="0"/>
          <w:bCs w:val="0"/>
          <w:color w:val="000000"/>
          <w:sz w:val="24"/>
          <w:szCs w:val="24"/>
        </w:rPr>
        <w:lastRenderedPageBreak/>
        <w:t>Indian medical text, references holy basil (</w:t>
      </w:r>
      <w:r w:rsidRPr="0024475D">
        <w:rPr>
          <w:b w:val="0"/>
          <w:bCs w:val="0"/>
          <w:i/>
          <w:iCs/>
          <w:color w:val="000000"/>
          <w:sz w:val="24"/>
          <w:szCs w:val="24"/>
        </w:rPr>
        <w:t>Ocimum sanctum</w:t>
      </w:r>
      <w:r w:rsidRPr="0024475D">
        <w:rPr>
          <w:b w:val="0"/>
          <w:bCs w:val="0"/>
          <w:color w:val="000000"/>
          <w:sz w:val="24"/>
          <w:szCs w:val="24"/>
        </w:rPr>
        <w:t xml:space="preserve"> L) for its various medicinal attributes, including anti-hyperlipidemic, hypoglycemic, anxiolytic, hypotensive, anti-inflammatory, and antimicrobial properties [18]. </w:t>
      </w:r>
      <w:commentRangeStart w:id="2"/>
      <w:r w:rsidRPr="0024475D">
        <w:rPr>
          <w:b w:val="0"/>
          <w:bCs w:val="0"/>
          <w:color w:val="000000"/>
          <w:sz w:val="24"/>
          <w:szCs w:val="24"/>
        </w:rPr>
        <w:t>People regard it as an adaptogen that aids in stress adaptation. Ancient Ayurvedic and Unani medicinal systems use extracts of holy basil leaves to treat common colds, inflammation, and headaches. There are a lot of chemicals in Ocimum leaves, such as β-caryophyllene, eugenol derivatives, vanillin, rosmarinic acid, ursolic acid, gallic acid, and vanillic acid.</w:t>
      </w:r>
      <w:commentRangeEnd w:id="2"/>
      <w:r w:rsidR="009951CC">
        <w:rPr>
          <w:rStyle w:val="CommentReference"/>
          <w:rFonts w:asciiTheme="minorHAnsi" w:eastAsiaTheme="minorHAnsi" w:hAnsiTheme="minorHAnsi" w:cstheme="minorBidi"/>
          <w:b w:val="0"/>
          <w:bCs w:val="0"/>
        </w:rPr>
        <w:commentReference w:id="2"/>
      </w:r>
    </w:p>
    <w:p w14:paraId="2280D52D" w14:textId="77777777" w:rsidR="000A10BB" w:rsidRPr="0024475D" w:rsidRDefault="000A10BB" w:rsidP="000A10BB">
      <w:pPr>
        <w:pStyle w:val="Heading3"/>
        <w:shd w:val="clear" w:color="auto" w:fill="FFFFFF"/>
        <w:spacing w:before="0" w:beforeAutospacing="0" w:after="240" w:afterAutospacing="0" w:line="360" w:lineRule="auto"/>
        <w:jc w:val="both"/>
        <w:rPr>
          <w:sz w:val="24"/>
          <w:szCs w:val="24"/>
        </w:rPr>
      </w:pPr>
      <w:r w:rsidRPr="0024475D">
        <w:rPr>
          <w:b w:val="0"/>
          <w:bCs w:val="0"/>
          <w:color w:val="000000"/>
          <w:sz w:val="24"/>
          <w:szCs w:val="24"/>
        </w:rPr>
        <w:t xml:space="preserve">The point of this study is to find out if an ethanolic extract from </w:t>
      </w:r>
      <w:r w:rsidRPr="0024475D">
        <w:rPr>
          <w:b w:val="0"/>
          <w:bCs w:val="0"/>
          <w:i/>
          <w:iCs/>
          <w:color w:val="000000"/>
          <w:sz w:val="24"/>
          <w:szCs w:val="24"/>
        </w:rPr>
        <w:t>Ocimum sanctum</w:t>
      </w:r>
      <w:r w:rsidRPr="0024475D">
        <w:rPr>
          <w:b w:val="0"/>
          <w:bCs w:val="0"/>
          <w:color w:val="000000"/>
          <w:sz w:val="24"/>
          <w:szCs w:val="24"/>
        </w:rPr>
        <w:t xml:space="preserve"> can help people with diabetes and to look at its lipid profile.</w:t>
      </w:r>
    </w:p>
    <w:p w14:paraId="437EF67D" w14:textId="77777777" w:rsidR="000A10BB" w:rsidRPr="0024475D" w:rsidRDefault="000A10BB" w:rsidP="000A10BB">
      <w:pPr>
        <w:spacing w:after="0" w:line="360" w:lineRule="auto"/>
        <w:jc w:val="both"/>
        <w:rPr>
          <w:rFonts w:ascii="Times New Roman" w:eastAsia="Times New Roman" w:hAnsi="Times New Roman" w:cs="Times New Roman"/>
          <w:color w:val="000000"/>
          <w:sz w:val="24"/>
          <w:szCs w:val="24"/>
        </w:rPr>
      </w:pPr>
    </w:p>
    <w:p w14:paraId="78C2FCC3" w14:textId="77777777" w:rsidR="000A10BB" w:rsidRPr="0024475D" w:rsidRDefault="000A10BB" w:rsidP="000A10BB">
      <w:pPr>
        <w:spacing w:after="0" w:line="360" w:lineRule="auto"/>
        <w:jc w:val="both"/>
        <w:rPr>
          <w:rFonts w:ascii="Times New Roman" w:eastAsia="Times New Roman" w:hAnsi="Times New Roman" w:cs="Times New Roman"/>
          <w:sz w:val="24"/>
          <w:szCs w:val="24"/>
        </w:rPr>
      </w:pPr>
    </w:p>
    <w:p w14:paraId="6B67BF7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Materials and methods </w:t>
      </w:r>
    </w:p>
    <w:p w14:paraId="062A5251"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Drugs, Chemicals, and Instruments</w:t>
      </w:r>
    </w:p>
    <w:p w14:paraId="20A4A58D"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color w:val="000000"/>
          <w:spacing w:val="2"/>
          <w:sz w:val="24"/>
          <w:szCs w:val="24"/>
        </w:rPr>
        <w:t>Ethanol and alloxan were acquired from Sigma Aldrich located in Germany. A complimentary sample of metformin, a commonly utilized medication for managing diabetes, was provided by Healthcare Pharmaceutical Limited. Blood serum analysis kits for various biomarkers were sourced from Plasmatic Laboratory Products Ltd. in the United Kingdom. The Alere Inc. glucometer was employed in this research, which we obtained from Shahbag in Dhaka, Bangladesh. Biochemical parameters were assessed using the Humalyzer 3000, a semiautomated clinical chemistry analyzer.</w:t>
      </w:r>
    </w:p>
    <w:p w14:paraId="676FC792"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b/>
          <w:sz w:val="24"/>
          <w:szCs w:val="24"/>
        </w:rPr>
        <w:t>Plant Collection and Extract Preparation</w:t>
      </w:r>
    </w:p>
    <w:p w14:paraId="46481277" w14:textId="77777777" w:rsidR="000A10BB" w:rsidRPr="00652D78" w:rsidRDefault="000A10BB" w:rsidP="000A10BB">
      <w:pPr>
        <w:spacing w:line="360" w:lineRule="auto"/>
        <w:jc w:val="both"/>
        <w:rPr>
          <w:rFonts w:ascii="Times New Roman" w:hAnsi="Times New Roman" w:cs="Times New Roman"/>
          <w:color w:val="000000"/>
          <w:spacing w:val="2"/>
          <w:sz w:val="24"/>
          <w:szCs w:val="24"/>
        </w:rPr>
      </w:pPr>
      <w:r w:rsidRPr="00652D78">
        <w:rPr>
          <w:rFonts w:ascii="Times New Roman" w:hAnsi="Times New Roman" w:cs="Times New Roman"/>
          <w:color w:val="000000"/>
          <w:spacing w:val="2"/>
          <w:sz w:val="24"/>
          <w:szCs w:val="24"/>
        </w:rPr>
        <w:t xml:space="preserve">Plants of Ocimum sanctum were gathered from three distinct regions in Bangladesh: a hilly area, a lowland zone, and North Bengal. The following stage involved the authentication and taxonomic classification of the specimens. In compliance with relevant regulations, the plant specimen was preserved by the National Herbarium of Bangladesh. The leaves were dried in a shaded area for a period of seven to ten days before being finely ground. The powdered leaves underwent agitation in a 70% ethanol solution for 96 hours. After this soaking process, the extract was filtered, and the resulting liquid was collected. </w:t>
      </w:r>
      <w:commentRangeStart w:id="3"/>
      <w:r w:rsidRPr="00652D78">
        <w:rPr>
          <w:rFonts w:ascii="Times New Roman" w:hAnsi="Times New Roman" w:cs="Times New Roman"/>
          <w:color w:val="000000"/>
          <w:spacing w:val="2"/>
          <w:sz w:val="24"/>
          <w:szCs w:val="24"/>
        </w:rPr>
        <w:t>We then concentrated it using a rotary evaporator. The dried extract was stored in a refrigerated environment for future use.</w:t>
      </w:r>
      <w:commentRangeEnd w:id="3"/>
      <w:r w:rsidR="009951CC">
        <w:rPr>
          <w:rStyle w:val="CommentReference"/>
        </w:rPr>
        <w:commentReference w:id="3"/>
      </w:r>
    </w:p>
    <w:p w14:paraId="55F944A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lastRenderedPageBreak/>
        <w:t xml:space="preserve">Experimental Animal Handling </w:t>
      </w:r>
    </w:p>
    <w:p w14:paraId="56CCC52A"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commentRangeStart w:id="4"/>
      <w:r w:rsidRPr="00652D78">
        <w:rPr>
          <w:rFonts w:ascii="Times New Roman" w:eastAsia="Times New Roman" w:hAnsi="Times New Roman" w:cs="Times New Roman"/>
          <w:sz w:val="24"/>
          <w:szCs w:val="24"/>
        </w:rPr>
        <w:t>We acquired 100 male Wistar rats (125–200 g) from the Pharmacy Department of Jahangirnagar University, Dhaka, Bangladesh. The rats were housed at the Institute of Nutrition and Food Science, University of Dhaka, in a controlled environment with a 12-hour light/dark cycle and a stable temperature of 25°C. They were provided with a standard pellet diet and freshwater throughout the study. To ensure proper acclimatization, the rats were housed at the facility prior to the start of the trial.</w:t>
      </w:r>
    </w:p>
    <w:p w14:paraId="08B4C310"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652D78">
        <w:rPr>
          <w:rFonts w:ascii="Times New Roman" w:eastAsia="Times New Roman" w:hAnsi="Times New Roman" w:cs="Times New Roman"/>
          <w:sz w:val="24"/>
          <w:szCs w:val="24"/>
        </w:rPr>
        <w:t>All procedures involving animals complied with the guidelines of the Institutional Animal Ethics Committee (IAEC) and were approved by the Department of Zoology, University of Dhaka (ethical approval number: 147/pharm.science.ewu). The care and supervision of the animals adhered to the protocols established by the Swiss Academy of Medical Sciences (SAMS) and the Swiss Academy of Sciences (SCNAT).</w:t>
      </w:r>
      <w:commentRangeEnd w:id="4"/>
      <w:r w:rsidR="009951CC">
        <w:rPr>
          <w:rStyle w:val="CommentReference"/>
        </w:rPr>
        <w:commentReference w:id="4"/>
      </w:r>
    </w:p>
    <w:p w14:paraId="19ABF862" w14:textId="77777777" w:rsidR="000A10BB" w:rsidRPr="0024475D" w:rsidRDefault="000A10BB" w:rsidP="000A10BB">
      <w:pPr>
        <w:spacing w:line="360" w:lineRule="auto"/>
        <w:jc w:val="both"/>
        <w:rPr>
          <w:rFonts w:ascii="Times New Roman" w:hAnsi="Times New Roman" w:cs="Times New Roman"/>
          <w:b/>
          <w:sz w:val="24"/>
          <w:szCs w:val="24"/>
        </w:rPr>
      </w:pPr>
    </w:p>
    <w:p w14:paraId="75648A9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Experimental Guidelines </w:t>
      </w:r>
    </w:p>
    <w:p w14:paraId="2D25852B" w14:textId="77777777" w:rsidR="000A10BB" w:rsidRPr="003462A9"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3462A9">
        <w:rPr>
          <w:rFonts w:ascii="Times New Roman" w:eastAsia="Times New Roman" w:hAnsi="Times New Roman" w:cs="Times New Roman"/>
          <w:sz w:val="24"/>
          <w:szCs w:val="24"/>
        </w:rPr>
        <w:t xml:space="preserve">The experiments were conducted in accordance with the ethical standards outlined in the 2013 Helsinki Declaration and adhered to the "3R" principles (Replacement, Reduction, Refinement), which are fundamental to Swiss and international regulations for animal research. The principle of </w:t>
      </w:r>
      <w:r w:rsidRPr="003462A9">
        <w:rPr>
          <w:rFonts w:ascii="Times New Roman" w:eastAsia="Times New Roman" w:hAnsi="Times New Roman" w:cs="Times New Roman"/>
          <w:bCs/>
          <w:sz w:val="24"/>
          <w:szCs w:val="24"/>
        </w:rPr>
        <w:t>Replacement</w:t>
      </w:r>
      <w:r w:rsidRPr="003462A9">
        <w:rPr>
          <w:rFonts w:ascii="Times New Roman" w:eastAsia="Times New Roman" w:hAnsi="Times New Roman" w:cs="Times New Roman"/>
          <w:sz w:val="24"/>
          <w:szCs w:val="24"/>
        </w:rPr>
        <w:t xml:space="preserve"> emphasizes substituting animal models with alternatives, such as computer simulations, cell or tissue cultures, or using invertebrates instead of vertebrates when possible. For this study, rats were chosen as the animal model due to their distinct pancreatic beta cells, making them ideal for antidiabetic research. The principle of </w:t>
      </w:r>
      <w:r w:rsidRPr="003462A9">
        <w:rPr>
          <w:rFonts w:ascii="Times New Roman" w:eastAsia="Times New Roman" w:hAnsi="Times New Roman" w:cs="Times New Roman"/>
          <w:bCs/>
          <w:sz w:val="24"/>
          <w:szCs w:val="24"/>
        </w:rPr>
        <w:t>Reduction</w:t>
      </w:r>
      <w:r w:rsidRPr="003462A9">
        <w:rPr>
          <w:rFonts w:ascii="Times New Roman" w:eastAsia="Times New Roman" w:hAnsi="Times New Roman" w:cs="Times New Roman"/>
          <w:sz w:val="24"/>
          <w:szCs w:val="24"/>
        </w:rPr>
        <w:t xml:space="preserve"> aims to minimize the number of animals used while ensuring sufficient data collection to meet research objectives. Based on a sample size estimate derived from power analysis, 10 rats were selected for this investigation to ensure compliance with these guidelines. The principle of </w:t>
      </w:r>
      <w:r w:rsidRPr="003462A9">
        <w:rPr>
          <w:rFonts w:ascii="Times New Roman" w:eastAsia="Times New Roman" w:hAnsi="Times New Roman" w:cs="Times New Roman"/>
          <w:bCs/>
          <w:sz w:val="24"/>
          <w:szCs w:val="24"/>
        </w:rPr>
        <w:t>Refinement</w:t>
      </w:r>
      <w:r w:rsidRPr="003462A9">
        <w:rPr>
          <w:rFonts w:ascii="Times New Roman" w:eastAsia="Times New Roman" w:hAnsi="Times New Roman" w:cs="Times New Roman"/>
          <w:sz w:val="24"/>
          <w:szCs w:val="24"/>
        </w:rPr>
        <w:t xml:space="preserve"> focuses on minimizing pain and distress. Measures were taken to enhance the rats' comfort, such as gently massaging their tail tips with isopropyl alcohol before and after blood glucose measurements to alleviate discomfort. Throughout the study, the rats were provided with adequate nutrition and were euthanized humanely following the 2013 Guidelines for the Euthanasia of Animals.</w:t>
      </w:r>
    </w:p>
    <w:p w14:paraId="13729306" w14:textId="77777777" w:rsidR="000A10BB" w:rsidRPr="0024475D" w:rsidRDefault="000A10BB" w:rsidP="000A10BB">
      <w:pPr>
        <w:pStyle w:val="NormalWeb"/>
        <w:spacing w:before="0" w:beforeAutospacing="0" w:after="240" w:afterAutospacing="0" w:line="360" w:lineRule="auto"/>
        <w:jc w:val="both"/>
      </w:pPr>
      <w:r w:rsidRPr="0024475D">
        <w:rPr>
          <w:b/>
          <w:bCs/>
          <w:color w:val="252525"/>
        </w:rPr>
        <w:t>Experimental Design</w:t>
      </w:r>
    </w:p>
    <w:p w14:paraId="2D7EFCD6" w14:textId="77777777" w:rsidR="000A10BB" w:rsidRPr="0024475D" w:rsidRDefault="000A10BB" w:rsidP="000A10BB">
      <w:pPr>
        <w:pStyle w:val="NormalWeb"/>
        <w:spacing w:before="0" w:beforeAutospacing="0" w:after="240" w:afterAutospacing="0" w:line="360" w:lineRule="auto"/>
        <w:jc w:val="both"/>
      </w:pPr>
      <w:commentRangeStart w:id="5"/>
      <w:r w:rsidRPr="0024475D">
        <w:rPr>
          <w:color w:val="252525"/>
        </w:rPr>
        <w:t>We divided the rats into groups based on their body weight and subsequently tested them for antihyperglycemic action (Table 1). The rodents were categorized into groups according to their body weight, with 10 rats in each group. Table 1 illustrates the alloxan control group, consisting of rats that received only alloxan therapy. N/A indicates the absence of therapeutic treatment in this group.</w:t>
      </w:r>
      <w:commentRangeEnd w:id="5"/>
      <w:r w:rsidR="009951CC">
        <w:rPr>
          <w:rStyle w:val="CommentReference"/>
          <w:rFonts w:asciiTheme="minorHAnsi" w:eastAsiaTheme="minorHAnsi" w:hAnsiTheme="minorHAnsi" w:cstheme="minorBidi"/>
        </w:rPr>
        <w:commentReference w:id="5"/>
      </w:r>
    </w:p>
    <w:p w14:paraId="7BB6654C" w14:textId="77777777" w:rsidR="000A10BB" w:rsidRPr="0024475D" w:rsidRDefault="000A10BB" w:rsidP="000A10BB">
      <w:pPr>
        <w:spacing w:after="120" w:line="360" w:lineRule="auto"/>
        <w:ind w:right="27"/>
        <w:jc w:val="center"/>
        <w:rPr>
          <w:rFonts w:ascii="Times New Roman" w:hAnsi="Times New Roman" w:cs="Times New Roman"/>
          <w:b/>
          <w:sz w:val="24"/>
          <w:szCs w:val="24"/>
        </w:rPr>
      </w:pPr>
      <w:r w:rsidRPr="0024475D">
        <w:rPr>
          <w:rFonts w:ascii="Times New Roman" w:hAnsi="Times New Roman" w:cs="Times New Roman"/>
          <w:b/>
          <w:sz w:val="24"/>
          <w:szCs w:val="24"/>
        </w:rPr>
        <w:t xml:space="preserve">Table 1: </w:t>
      </w:r>
      <w:r w:rsidRPr="0024475D">
        <w:rPr>
          <w:rFonts w:ascii="Times New Roman" w:hAnsi="Times New Roman" w:cs="Times New Roman"/>
          <w:sz w:val="24"/>
          <w:szCs w:val="24"/>
        </w:rPr>
        <w:t>Anti-hyperglycemic Activity Analysis</w:t>
      </w:r>
    </w:p>
    <w:tbl>
      <w:tblPr>
        <w:tblW w:w="10705" w:type="dxa"/>
        <w:jc w:val="center"/>
        <w:tblLayout w:type="fixed"/>
        <w:tblLook w:val="04A0" w:firstRow="1" w:lastRow="0" w:firstColumn="1" w:lastColumn="0" w:noHBand="0" w:noVBand="1"/>
      </w:tblPr>
      <w:tblGrid>
        <w:gridCol w:w="1075"/>
        <w:gridCol w:w="2250"/>
        <w:gridCol w:w="3960"/>
        <w:gridCol w:w="2160"/>
        <w:gridCol w:w="1260"/>
      </w:tblGrid>
      <w:tr w:rsidR="000A10BB" w:rsidRPr="0024475D" w14:paraId="1BB14ED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F59005C"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lastRenderedPageBreak/>
              <w:t>Group number</w:t>
            </w:r>
          </w:p>
        </w:tc>
        <w:tc>
          <w:tcPr>
            <w:tcW w:w="2250" w:type="dxa"/>
            <w:tcBorders>
              <w:top w:val="single" w:sz="4" w:space="0" w:color="auto"/>
              <w:left w:val="single" w:sz="4" w:space="0" w:color="auto"/>
              <w:bottom w:val="single" w:sz="4" w:space="0" w:color="auto"/>
              <w:right w:val="single" w:sz="4" w:space="0" w:color="auto"/>
            </w:tcBorders>
            <w:hideMark/>
          </w:tcPr>
          <w:p w14:paraId="346F84B1"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Status</w:t>
            </w:r>
          </w:p>
        </w:tc>
        <w:tc>
          <w:tcPr>
            <w:tcW w:w="3960" w:type="dxa"/>
            <w:tcBorders>
              <w:top w:val="single" w:sz="4" w:space="0" w:color="auto"/>
              <w:left w:val="single" w:sz="4" w:space="0" w:color="auto"/>
              <w:bottom w:val="single" w:sz="4" w:space="0" w:color="auto"/>
              <w:right w:val="single" w:sz="4" w:space="0" w:color="auto"/>
            </w:tcBorders>
            <w:hideMark/>
          </w:tcPr>
          <w:p w14:paraId="354247C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 xml:space="preserve">Treatment specimen </w:t>
            </w:r>
          </w:p>
        </w:tc>
        <w:tc>
          <w:tcPr>
            <w:tcW w:w="2160" w:type="dxa"/>
            <w:tcBorders>
              <w:top w:val="single" w:sz="4" w:space="0" w:color="auto"/>
              <w:left w:val="single" w:sz="4" w:space="0" w:color="auto"/>
              <w:bottom w:val="single" w:sz="4" w:space="0" w:color="auto"/>
              <w:right w:val="single" w:sz="4" w:space="0" w:color="auto"/>
            </w:tcBorders>
          </w:tcPr>
          <w:p w14:paraId="4AC8701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Dose of treatment specimen (mg/kg)</w:t>
            </w:r>
          </w:p>
        </w:tc>
        <w:tc>
          <w:tcPr>
            <w:tcW w:w="1260" w:type="dxa"/>
            <w:tcBorders>
              <w:top w:val="single" w:sz="4" w:space="0" w:color="auto"/>
              <w:left w:val="single" w:sz="4" w:space="0" w:color="auto"/>
              <w:bottom w:val="single" w:sz="4" w:space="0" w:color="auto"/>
              <w:right w:val="single" w:sz="4" w:space="0" w:color="auto"/>
            </w:tcBorders>
            <w:hideMark/>
          </w:tcPr>
          <w:p w14:paraId="0680F12F"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Abbreviation</w:t>
            </w:r>
          </w:p>
        </w:tc>
      </w:tr>
      <w:tr w:rsidR="000A10BB" w:rsidRPr="0024475D" w14:paraId="34A4500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C2AAC33" w14:textId="77777777" w:rsidR="000A10BB" w:rsidRPr="0024475D" w:rsidRDefault="000A10BB" w:rsidP="00A16AAE">
            <w:pPr>
              <w:spacing w:after="0" w:line="360" w:lineRule="auto"/>
              <w:ind w:right="27"/>
              <w:jc w:val="both"/>
              <w:rPr>
                <w:rFonts w:ascii="Times New Roman" w:hAnsi="Times New Roman" w:cs="Times New Roman"/>
                <w:sz w:val="24"/>
                <w:szCs w:val="24"/>
              </w:rPr>
            </w:pPr>
            <w:bookmarkStart w:id="6" w:name="_Hlk139118955"/>
            <w:r w:rsidRPr="0024475D">
              <w:rPr>
                <w:rFonts w:ascii="Times New Roman" w:hAnsi="Times New Roman" w:cs="Times New Roman"/>
                <w:sz w:val="24"/>
                <w:szCs w:val="24"/>
              </w:rPr>
              <w:t>1</w:t>
            </w:r>
          </w:p>
        </w:tc>
        <w:tc>
          <w:tcPr>
            <w:tcW w:w="2250" w:type="dxa"/>
            <w:tcBorders>
              <w:top w:val="single" w:sz="4" w:space="0" w:color="auto"/>
              <w:left w:val="single" w:sz="4" w:space="0" w:color="auto"/>
              <w:bottom w:val="single" w:sz="4" w:space="0" w:color="auto"/>
              <w:right w:val="single" w:sz="4" w:space="0" w:color="auto"/>
            </w:tcBorders>
            <w:hideMark/>
          </w:tcPr>
          <w:p w14:paraId="0C1D2AC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Negative Control</w:t>
            </w:r>
          </w:p>
        </w:tc>
        <w:tc>
          <w:tcPr>
            <w:tcW w:w="3960" w:type="dxa"/>
            <w:tcBorders>
              <w:top w:val="single" w:sz="4" w:space="0" w:color="auto"/>
              <w:left w:val="single" w:sz="4" w:space="0" w:color="auto"/>
              <w:bottom w:val="single" w:sz="4" w:space="0" w:color="auto"/>
              <w:right w:val="single" w:sz="4" w:space="0" w:color="auto"/>
            </w:tcBorders>
            <w:hideMark/>
          </w:tcPr>
          <w:p w14:paraId="55FEA65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Physiological Saline</w:t>
            </w:r>
          </w:p>
        </w:tc>
        <w:tc>
          <w:tcPr>
            <w:tcW w:w="2160" w:type="dxa"/>
            <w:tcBorders>
              <w:top w:val="single" w:sz="4" w:space="0" w:color="auto"/>
              <w:left w:val="single" w:sz="4" w:space="0" w:color="auto"/>
              <w:bottom w:val="single" w:sz="4" w:space="0" w:color="auto"/>
              <w:right w:val="single" w:sz="4" w:space="0" w:color="auto"/>
            </w:tcBorders>
          </w:tcPr>
          <w:p w14:paraId="25409BE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 mL/kg</w:t>
            </w:r>
          </w:p>
        </w:tc>
        <w:tc>
          <w:tcPr>
            <w:tcW w:w="1260" w:type="dxa"/>
            <w:tcBorders>
              <w:top w:val="single" w:sz="4" w:space="0" w:color="auto"/>
              <w:left w:val="single" w:sz="4" w:space="0" w:color="auto"/>
              <w:bottom w:val="single" w:sz="4" w:space="0" w:color="auto"/>
              <w:right w:val="single" w:sz="4" w:space="0" w:color="auto"/>
            </w:tcBorders>
            <w:hideMark/>
          </w:tcPr>
          <w:p w14:paraId="3AAA5C5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w:t>
            </w:r>
          </w:p>
        </w:tc>
      </w:tr>
      <w:tr w:rsidR="000A10BB" w:rsidRPr="0024475D" w14:paraId="3F715B93"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E9E72F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3FAD021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control</w:t>
            </w:r>
          </w:p>
        </w:tc>
        <w:tc>
          <w:tcPr>
            <w:tcW w:w="3960" w:type="dxa"/>
            <w:tcBorders>
              <w:top w:val="single" w:sz="4" w:space="0" w:color="auto"/>
              <w:left w:val="single" w:sz="4" w:space="0" w:color="auto"/>
              <w:bottom w:val="single" w:sz="4" w:space="0" w:color="auto"/>
              <w:right w:val="single" w:sz="4" w:space="0" w:color="auto"/>
            </w:tcBorders>
            <w:hideMark/>
          </w:tcPr>
          <w:p w14:paraId="6B36D59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p>
        </w:tc>
        <w:tc>
          <w:tcPr>
            <w:tcW w:w="2160" w:type="dxa"/>
            <w:tcBorders>
              <w:top w:val="single" w:sz="4" w:space="0" w:color="auto"/>
              <w:left w:val="single" w:sz="4" w:space="0" w:color="auto"/>
              <w:bottom w:val="single" w:sz="4" w:space="0" w:color="auto"/>
              <w:right w:val="single" w:sz="4" w:space="0" w:color="auto"/>
            </w:tcBorders>
          </w:tcPr>
          <w:p w14:paraId="31AD17D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w:t>
            </w:r>
          </w:p>
        </w:tc>
        <w:tc>
          <w:tcPr>
            <w:tcW w:w="1260" w:type="dxa"/>
            <w:tcBorders>
              <w:top w:val="single" w:sz="4" w:space="0" w:color="auto"/>
              <w:left w:val="single" w:sz="4" w:space="0" w:color="auto"/>
              <w:bottom w:val="single" w:sz="4" w:space="0" w:color="auto"/>
              <w:right w:val="single" w:sz="4" w:space="0" w:color="auto"/>
            </w:tcBorders>
            <w:hideMark/>
          </w:tcPr>
          <w:p w14:paraId="587945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w:t>
            </w:r>
          </w:p>
        </w:tc>
      </w:tr>
      <w:tr w:rsidR="000A10BB" w:rsidRPr="0024475D" w14:paraId="71D64BB8"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AD2FCA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hideMark/>
          </w:tcPr>
          <w:p w14:paraId="0B3476B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3960" w:type="dxa"/>
            <w:tcBorders>
              <w:top w:val="single" w:sz="4" w:space="0" w:color="auto"/>
              <w:left w:val="single" w:sz="4" w:space="0" w:color="auto"/>
              <w:bottom w:val="single" w:sz="4" w:space="0" w:color="auto"/>
              <w:right w:val="single" w:sz="4" w:space="0" w:color="auto"/>
            </w:tcBorders>
            <w:hideMark/>
          </w:tcPr>
          <w:p w14:paraId="76BB9D6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2160" w:type="dxa"/>
            <w:tcBorders>
              <w:top w:val="single" w:sz="4" w:space="0" w:color="auto"/>
              <w:left w:val="single" w:sz="4" w:space="0" w:color="auto"/>
              <w:bottom w:val="single" w:sz="4" w:space="0" w:color="auto"/>
              <w:right w:val="single" w:sz="4" w:space="0" w:color="auto"/>
            </w:tcBorders>
          </w:tcPr>
          <w:p w14:paraId="16925E7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083F0AB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100mg</w:t>
            </w:r>
          </w:p>
        </w:tc>
        <w:tc>
          <w:tcPr>
            <w:tcW w:w="1260" w:type="dxa"/>
            <w:tcBorders>
              <w:top w:val="single" w:sz="4" w:space="0" w:color="auto"/>
              <w:left w:val="single" w:sz="4" w:space="0" w:color="auto"/>
              <w:bottom w:val="single" w:sz="4" w:space="0" w:color="auto"/>
              <w:right w:val="single" w:sz="4" w:space="0" w:color="auto"/>
            </w:tcBorders>
            <w:hideMark/>
          </w:tcPr>
          <w:p w14:paraId="758B08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M100</w:t>
            </w:r>
          </w:p>
        </w:tc>
      </w:tr>
      <w:tr w:rsidR="000A10BB" w:rsidRPr="0024475D" w14:paraId="6552AE34" w14:textId="77777777" w:rsidTr="00A16AAE">
        <w:trPr>
          <w:trHeight w:val="989"/>
          <w:jc w:val="center"/>
        </w:trPr>
        <w:tc>
          <w:tcPr>
            <w:tcW w:w="1075" w:type="dxa"/>
            <w:tcBorders>
              <w:top w:val="single" w:sz="4" w:space="0" w:color="auto"/>
              <w:left w:val="single" w:sz="4" w:space="0" w:color="auto"/>
              <w:bottom w:val="single" w:sz="4" w:space="0" w:color="auto"/>
              <w:right w:val="single" w:sz="4" w:space="0" w:color="auto"/>
            </w:tcBorders>
            <w:hideMark/>
          </w:tcPr>
          <w:p w14:paraId="4523C635"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4</w:t>
            </w:r>
          </w:p>
        </w:tc>
        <w:tc>
          <w:tcPr>
            <w:tcW w:w="2250" w:type="dxa"/>
            <w:tcBorders>
              <w:top w:val="single" w:sz="4" w:space="0" w:color="auto"/>
              <w:left w:val="single" w:sz="4" w:space="0" w:color="auto"/>
              <w:bottom w:val="single" w:sz="4" w:space="0" w:color="auto"/>
              <w:right w:val="single" w:sz="4" w:space="0" w:color="auto"/>
            </w:tcBorders>
            <w:hideMark/>
          </w:tcPr>
          <w:p w14:paraId="0877BC8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488D97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410A9FB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4F9D027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5574A62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300</w:t>
            </w:r>
          </w:p>
          <w:p w14:paraId="77165FCF" w14:textId="77777777" w:rsidR="000A10BB" w:rsidRPr="0024475D" w:rsidRDefault="000A10BB" w:rsidP="00A16AAE">
            <w:pPr>
              <w:spacing w:after="0" w:line="360" w:lineRule="auto"/>
              <w:jc w:val="both"/>
              <w:rPr>
                <w:rFonts w:ascii="Times New Roman" w:hAnsi="Times New Roman" w:cs="Times New Roman"/>
                <w:sz w:val="24"/>
                <w:szCs w:val="24"/>
              </w:rPr>
            </w:pPr>
          </w:p>
          <w:p w14:paraId="306672E6" w14:textId="77777777" w:rsidR="000A10BB" w:rsidRPr="0024475D" w:rsidRDefault="000A10BB" w:rsidP="00A16AAE">
            <w:pPr>
              <w:spacing w:after="0" w:line="360" w:lineRule="auto"/>
              <w:jc w:val="both"/>
              <w:rPr>
                <w:rFonts w:ascii="Times New Roman" w:hAnsi="Times New Roman" w:cs="Times New Roman"/>
                <w:sz w:val="24"/>
                <w:szCs w:val="24"/>
              </w:rPr>
            </w:pPr>
          </w:p>
        </w:tc>
      </w:tr>
      <w:tr w:rsidR="000A10BB" w:rsidRPr="0024475D" w14:paraId="7646D53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FF1FA2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5</w:t>
            </w:r>
          </w:p>
        </w:tc>
        <w:tc>
          <w:tcPr>
            <w:tcW w:w="2250" w:type="dxa"/>
            <w:tcBorders>
              <w:top w:val="single" w:sz="4" w:space="0" w:color="auto"/>
              <w:left w:val="single" w:sz="4" w:space="0" w:color="auto"/>
              <w:bottom w:val="single" w:sz="4" w:space="0" w:color="auto"/>
              <w:right w:val="single" w:sz="4" w:space="0" w:color="auto"/>
            </w:tcBorders>
            <w:hideMark/>
          </w:tcPr>
          <w:p w14:paraId="7115736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5EF9A8E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2AD0DE3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29E99DF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025E49E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600</w:t>
            </w:r>
          </w:p>
        </w:tc>
      </w:tr>
      <w:tr w:rsidR="000A10BB" w:rsidRPr="0024475D" w14:paraId="6E7CE455"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66EDA8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w:t>
            </w:r>
          </w:p>
        </w:tc>
        <w:tc>
          <w:tcPr>
            <w:tcW w:w="2250" w:type="dxa"/>
            <w:tcBorders>
              <w:top w:val="single" w:sz="4" w:space="0" w:color="auto"/>
              <w:left w:val="single" w:sz="4" w:space="0" w:color="auto"/>
              <w:bottom w:val="single" w:sz="4" w:space="0" w:color="auto"/>
              <w:right w:val="single" w:sz="4" w:space="0" w:color="auto"/>
            </w:tcBorders>
            <w:hideMark/>
          </w:tcPr>
          <w:p w14:paraId="35C2505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A904D7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bookmarkStart w:id="7" w:name="_Hlk139122779"/>
            <w:r w:rsidRPr="0024475D">
              <w:rPr>
                <w:rFonts w:ascii="Times New Roman" w:hAnsi="Times New Roman" w:cs="Times New Roman"/>
                <w:sz w:val="24"/>
                <w:szCs w:val="24"/>
              </w:rPr>
              <w:t>extract high dose</w:t>
            </w:r>
            <w:bookmarkEnd w:id="7"/>
          </w:p>
        </w:tc>
        <w:tc>
          <w:tcPr>
            <w:tcW w:w="2160" w:type="dxa"/>
            <w:tcBorders>
              <w:top w:val="single" w:sz="4" w:space="0" w:color="auto"/>
              <w:left w:val="single" w:sz="4" w:space="0" w:color="auto"/>
              <w:bottom w:val="single" w:sz="4" w:space="0" w:color="auto"/>
              <w:right w:val="single" w:sz="4" w:space="0" w:color="auto"/>
            </w:tcBorders>
          </w:tcPr>
          <w:p w14:paraId="0CF92C8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4E2EA7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900 mg/kg</w:t>
            </w:r>
          </w:p>
        </w:tc>
        <w:tc>
          <w:tcPr>
            <w:tcW w:w="1260" w:type="dxa"/>
            <w:tcBorders>
              <w:top w:val="single" w:sz="4" w:space="0" w:color="auto"/>
              <w:left w:val="single" w:sz="4" w:space="0" w:color="auto"/>
              <w:bottom w:val="single" w:sz="4" w:space="0" w:color="auto"/>
              <w:right w:val="single" w:sz="4" w:space="0" w:color="auto"/>
            </w:tcBorders>
            <w:hideMark/>
          </w:tcPr>
          <w:p w14:paraId="6EE1FB9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OS</w:t>
            </w:r>
            <w:r w:rsidRPr="0024475D">
              <w:rPr>
                <w:rFonts w:ascii="Times New Roman" w:hAnsi="Times New Roman" w:cs="Times New Roman"/>
                <w:sz w:val="24"/>
                <w:szCs w:val="24"/>
                <w:vertAlign w:val="subscript"/>
              </w:rPr>
              <w:t>900</w:t>
            </w:r>
          </w:p>
        </w:tc>
      </w:tr>
      <w:tr w:rsidR="000A10BB" w:rsidRPr="0024475D" w14:paraId="7CF93E0F"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tcPr>
          <w:p w14:paraId="4850780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7</w:t>
            </w:r>
          </w:p>
        </w:tc>
        <w:tc>
          <w:tcPr>
            <w:tcW w:w="2250" w:type="dxa"/>
            <w:tcBorders>
              <w:top w:val="single" w:sz="4" w:space="0" w:color="auto"/>
              <w:left w:val="single" w:sz="4" w:space="0" w:color="auto"/>
              <w:bottom w:val="single" w:sz="4" w:space="0" w:color="auto"/>
              <w:right w:val="single" w:sz="4" w:space="0" w:color="auto"/>
            </w:tcBorders>
          </w:tcPr>
          <w:p w14:paraId="521A8F9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3960" w:type="dxa"/>
            <w:tcBorders>
              <w:top w:val="single" w:sz="4" w:space="0" w:color="auto"/>
              <w:left w:val="single" w:sz="4" w:space="0" w:color="auto"/>
              <w:bottom w:val="single" w:sz="4" w:space="0" w:color="auto"/>
              <w:right w:val="single" w:sz="4" w:space="0" w:color="auto"/>
            </w:tcBorders>
          </w:tcPr>
          <w:p w14:paraId="6002AFC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2160" w:type="dxa"/>
            <w:tcBorders>
              <w:top w:val="single" w:sz="4" w:space="0" w:color="auto"/>
              <w:left w:val="single" w:sz="4" w:space="0" w:color="auto"/>
              <w:bottom w:val="single" w:sz="4" w:space="0" w:color="auto"/>
              <w:right w:val="single" w:sz="4" w:space="0" w:color="auto"/>
            </w:tcBorders>
          </w:tcPr>
          <w:p w14:paraId="621D3F2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100 mg/kg</w:t>
            </w:r>
          </w:p>
        </w:tc>
        <w:tc>
          <w:tcPr>
            <w:tcW w:w="1260" w:type="dxa"/>
            <w:tcBorders>
              <w:top w:val="single" w:sz="4" w:space="0" w:color="auto"/>
              <w:left w:val="single" w:sz="4" w:space="0" w:color="auto"/>
              <w:bottom w:val="single" w:sz="4" w:space="0" w:color="auto"/>
              <w:right w:val="single" w:sz="4" w:space="0" w:color="auto"/>
            </w:tcBorders>
          </w:tcPr>
          <w:p w14:paraId="170D86C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w:t>
            </w:r>
          </w:p>
        </w:tc>
      </w:tr>
      <w:tr w:rsidR="000A10BB" w:rsidRPr="0024475D" w14:paraId="40C6B99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0CED29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8</w:t>
            </w:r>
          </w:p>
        </w:tc>
        <w:tc>
          <w:tcPr>
            <w:tcW w:w="2250" w:type="dxa"/>
            <w:tcBorders>
              <w:top w:val="single" w:sz="4" w:space="0" w:color="auto"/>
              <w:left w:val="single" w:sz="4" w:space="0" w:color="auto"/>
              <w:bottom w:val="single" w:sz="4" w:space="0" w:color="auto"/>
              <w:right w:val="single" w:sz="4" w:space="0" w:color="auto"/>
            </w:tcBorders>
            <w:hideMark/>
          </w:tcPr>
          <w:p w14:paraId="1972B2F8" w14:textId="77777777" w:rsidR="000A10BB" w:rsidRPr="0024475D" w:rsidRDefault="000A10BB" w:rsidP="00A16AAE">
            <w:pPr>
              <w:spacing w:after="0" w:line="360" w:lineRule="auto"/>
              <w:jc w:val="both"/>
              <w:rPr>
                <w:rFonts w:ascii="Times New Roman" w:hAnsi="Times New Roman" w:cs="Times New Roman"/>
                <w:sz w:val="24"/>
                <w:szCs w:val="24"/>
              </w:rPr>
            </w:pPr>
            <w:r w:rsidRPr="0024475D">
              <w:rPr>
                <w:rFonts w:ascii="Times New Roman" w:hAnsi="Times New Roman" w:cs="Times New Roman"/>
                <w:i/>
                <w:iCs/>
                <w:color w:val="000000"/>
                <w:sz w:val="24"/>
                <w:szCs w:val="24"/>
              </w:rPr>
              <w:t>Ocimum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6048971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5BD8CE71"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2774A41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300</w:t>
            </w:r>
          </w:p>
        </w:tc>
      </w:tr>
      <w:tr w:rsidR="000A10BB" w:rsidRPr="0024475D" w14:paraId="44C32DF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2CA2C5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9</w:t>
            </w:r>
          </w:p>
        </w:tc>
        <w:tc>
          <w:tcPr>
            <w:tcW w:w="2250" w:type="dxa"/>
            <w:tcBorders>
              <w:top w:val="single" w:sz="4" w:space="0" w:color="auto"/>
              <w:left w:val="single" w:sz="4" w:space="0" w:color="auto"/>
              <w:bottom w:val="single" w:sz="4" w:space="0" w:color="auto"/>
              <w:right w:val="single" w:sz="4" w:space="0" w:color="auto"/>
            </w:tcBorders>
            <w:hideMark/>
          </w:tcPr>
          <w:p w14:paraId="4114140B" w14:textId="77777777" w:rsidR="000A10BB" w:rsidRPr="0024475D" w:rsidRDefault="000A10BB" w:rsidP="00A16AAE">
            <w:pPr>
              <w:spacing w:after="0" w:line="360" w:lineRule="auto"/>
              <w:jc w:val="both"/>
              <w:rPr>
                <w:rFonts w:ascii="Times New Roman" w:hAnsi="Times New Roman" w:cs="Times New Roman"/>
                <w:sz w:val="24"/>
                <w:szCs w:val="24"/>
              </w:rPr>
            </w:pPr>
            <w:r w:rsidRPr="0024475D">
              <w:rPr>
                <w:rFonts w:ascii="Times New Roman" w:hAnsi="Times New Roman" w:cs="Times New Roman"/>
                <w:i/>
                <w:iCs/>
                <w:color w:val="000000"/>
                <w:sz w:val="24"/>
                <w:szCs w:val="24"/>
              </w:rPr>
              <w:t>Ocimum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3A51CF4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6F8A86A0"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305B972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600</w:t>
            </w:r>
          </w:p>
        </w:tc>
      </w:tr>
      <w:tr w:rsidR="000A10BB" w:rsidRPr="0024475D" w14:paraId="098AB95E"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EC6C1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w:t>
            </w:r>
          </w:p>
        </w:tc>
        <w:tc>
          <w:tcPr>
            <w:tcW w:w="2250" w:type="dxa"/>
            <w:tcBorders>
              <w:top w:val="single" w:sz="4" w:space="0" w:color="auto"/>
              <w:left w:val="single" w:sz="4" w:space="0" w:color="auto"/>
              <w:bottom w:val="single" w:sz="4" w:space="0" w:color="auto"/>
              <w:right w:val="single" w:sz="4" w:space="0" w:color="auto"/>
            </w:tcBorders>
            <w:hideMark/>
          </w:tcPr>
          <w:p w14:paraId="79FE3A96" w14:textId="77777777" w:rsidR="000A10BB" w:rsidRPr="0024475D" w:rsidRDefault="000A10BB" w:rsidP="00A16AAE">
            <w:pPr>
              <w:spacing w:after="0" w:line="360" w:lineRule="auto"/>
              <w:jc w:val="both"/>
              <w:rPr>
                <w:rFonts w:ascii="Times New Roman" w:hAnsi="Times New Roman" w:cs="Times New Roman"/>
                <w:sz w:val="24"/>
                <w:szCs w:val="24"/>
              </w:rPr>
            </w:pPr>
            <w:r w:rsidRPr="0024475D">
              <w:rPr>
                <w:rFonts w:ascii="Times New Roman" w:hAnsi="Times New Roman" w:cs="Times New Roman"/>
                <w:i/>
                <w:iCs/>
                <w:color w:val="000000"/>
                <w:sz w:val="24"/>
                <w:szCs w:val="24"/>
              </w:rPr>
              <w:t>Ocimum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291A802F" w14:textId="77777777" w:rsidR="000A10BB" w:rsidRPr="0024475D" w:rsidRDefault="000A10BB" w:rsidP="00A16AAE">
            <w:pPr>
              <w:spacing w:after="0" w:line="360" w:lineRule="auto"/>
              <w:ind w:right="27"/>
              <w:jc w:val="both"/>
              <w:rPr>
                <w:rFonts w:ascii="Times New Roman" w:hAnsi="Times New Roman" w:cs="Times New Roman"/>
                <w:sz w:val="24"/>
                <w:szCs w:val="24"/>
              </w:rPr>
            </w:pPr>
            <w:commentRangeStart w:id="8"/>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i/>
                <w:iCs/>
                <w:color w:val="000000"/>
                <w:sz w:val="24"/>
                <w:szCs w:val="24"/>
              </w:rPr>
              <w:t>Ocimum</w:t>
            </w:r>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high dose</w:t>
            </w:r>
            <w:commentRangeEnd w:id="8"/>
            <w:r w:rsidR="009951CC">
              <w:rPr>
                <w:rStyle w:val="CommentReference"/>
              </w:rPr>
              <w:commentReference w:id="8"/>
            </w:r>
          </w:p>
        </w:tc>
        <w:tc>
          <w:tcPr>
            <w:tcW w:w="2160" w:type="dxa"/>
            <w:tcBorders>
              <w:top w:val="single" w:sz="4" w:space="0" w:color="auto"/>
              <w:left w:val="single" w:sz="4" w:space="0" w:color="auto"/>
              <w:bottom w:val="single" w:sz="4" w:space="0" w:color="auto"/>
              <w:right w:val="single" w:sz="4" w:space="0" w:color="auto"/>
            </w:tcBorders>
          </w:tcPr>
          <w:p w14:paraId="78B44FEE"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900 mg/kg</w:t>
            </w:r>
          </w:p>
        </w:tc>
        <w:tc>
          <w:tcPr>
            <w:tcW w:w="1260" w:type="dxa"/>
            <w:tcBorders>
              <w:top w:val="single" w:sz="4" w:space="0" w:color="auto"/>
              <w:left w:val="single" w:sz="4" w:space="0" w:color="auto"/>
              <w:bottom w:val="single" w:sz="4" w:space="0" w:color="auto"/>
              <w:right w:val="single" w:sz="4" w:space="0" w:color="auto"/>
            </w:tcBorders>
            <w:hideMark/>
          </w:tcPr>
          <w:p w14:paraId="386B5AE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900</w:t>
            </w:r>
          </w:p>
        </w:tc>
      </w:tr>
      <w:bookmarkEnd w:id="6"/>
    </w:tbl>
    <w:p w14:paraId="29F60B24" w14:textId="77777777" w:rsidR="000A10BB" w:rsidRPr="0024475D" w:rsidRDefault="000A10BB" w:rsidP="000A10BB">
      <w:pPr>
        <w:spacing w:line="360" w:lineRule="auto"/>
        <w:jc w:val="both"/>
        <w:rPr>
          <w:rFonts w:ascii="Times New Roman" w:hAnsi="Times New Roman" w:cs="Times New Roman"/>
          <w:b/>
          <w:sz w:val="24"/>
          <w:szCs w:val="24"/>
        </w:rPr>
      </w:pPr>
    </w:p>
    <w:p w14:paraId="5F161C33"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Biological Sample Collection </w:t>
      </w:r>
    </w:p>
    <w:p w14:paraId="6E44AC3D"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r w:rsidRPr="0024475D">
        <w:rPr>
          <w:b w:val="0"/>
          <w:bCs w:val="0"/>
          <w:color w:val="000000"/>
          <w:sz w:val="24"/>
          <w:szCs w:val="24"/>
        </w:rPr>
        <w:t xml:space="preserve">Blood glucose levels were measured by obtaining blood samples via puncturing the tip of the rat's tail. In contrast, blood was swiftly extracted from the deceased animal after a cardiac puncture and transported to a microcentrifuge tube. The collected samples were centrifuged for 5 minutes at 5,000 rpm to extract the supernatant fluid. The fluid was then transferred to a different microcentrifuge tube for biochemical analysis. The kidneys and liver were promptly excised from the animal's body post-sacrifice and meticulously washed with an ice-cold saline solution for further functional examination. </w:t>
      </w:r>
      <w:commentRangeStart w:id="9"/>
      <w:r w:rsidRPr="0024475D">
        <w:rPr>
          <w:b w:val="0"/>
          <w:bCs w:val="0"/>
          <w:color w:val="000000"/>
          <w:sz w:val="24"/>
          <w:szCs w:val="24"/>
        </w:rPr>
        <w:t xml:space="preserve">We classified the rats into several groups based on their body </w:t>
      </w:r>
      <w:r w:rsidRPr="0024475D">
        <w:rPr>
          <w:b w:val="0"/>
          <w:bCs w:val="0"/>
          <w:color w:val="000000"/>
          <w:sz w:val="24"/>
          <w:szCs w:val="24"/>
        </w:rPr>
        <w:lastRenderedPageBreak/>
        <w:t>weight and then performed procedures to assess their antihyperglycemic efficacy (Table 1). We categorized the rodents according to their body weight, with 10 rats each group. The alloxan control group in Table 1 exclusively administered alloxan to the rats. This group does not get therapeutic intervention when N/A is specified.</w:t>
      </w:r>
      <w:commentRangeEnd w:id="9"/>
      <w:r w:rsidR="009951CC">
        <w:rPr>
          <w:rStyle w:val="CommentReference"/>
          <w:rFonts w:asciiTheme="minorHAnsi" w:eastAsiaTheme="minorHAnsi" w:hAnsiTheme="minorHAnsi" w:cstheme="minorBidi"/>
          <w:b w:val="0"/>
          <w:bCs w:val="0"/>
        </w:rPr>
        <w:commentReference w:id="9"/>
      </w:r>
    </w:p>
    <w:p w14:paraId="5B908696" w14:textId="77777777" w:rsidR="000A10BB" w:rsidRDefault="000A10BB" w:rsidP="000A10BB">
      <w:pPr>
        <w:spacing w:line="360" w:lineRule="auto"/>
        <w:jc w:val="both"/>
        <w:rPr>
          <w:rFonts w:ascii="Times New Roman" w:hAnsi="Times New Roman" w:cs="Times New Roman"/>
          <w:b/>
          <w:sz w:val="24"/>
          <w:szCs w:val="24"/>
        </w:rPr>
      </w:pPr>
    </w:p>
    <w:p w14:paraId="52880E05"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Estimation of Biochemical Parameters </w:t>
      </w:r>
    </w:p>
    <w:p w14:paraId="488EB460"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Blood glucose levels were measured using a glucometer. Additional tests included the Humalyzer 3000 for biochemical analysis</w:t>
      </w:r>
      <w:commentRangeStart w:id="10"/>
      <w:r w:rsidRPr="003462A9">
        <w:rPr>
          <w:rFonts w:ascii="Times New Roman" w:hAnsi="Times New Roman" w:cs="Times New Roman"/>
          <w:sz w:val="24"/>
          <w:szCs w:val="24"/>
        </w:rPr>
        <w:t>, alongside assessments of lipid profiles (HDL, LDL, cholesterol, and triglycerides), kidney function (urea and creatinine), and liver function (SGPT and SGOT).</w:t>
      </w:r>
      <w:commentRangeEnd w:id="10"/>
      <w:r w:rsidR="009951CC">
        <w:rPr>
          <w:rStyle w:val="CommentReference"/>
        </w:rPr>
        <w:commentReference w:id="10"/>
      </w:r>
      <w:r w:rsidRPr="003462A9">
        <w:rPr>
          <w:rFonts w:ascii="Times New Roman" w:hAnsi="Times New Roman" w:cs="Times New Roman"/>
          <w:sz w:val="24"/>
          <w:szCs w:val="24"/>
        </w:rPr>
        <w:t xml:space="preserve"> Furthermore, liver and kidney samples were analyzed to evaluate the activity of gluconeogenic and glycolytic enzymes.</w:t>
      </w:r>
    </w:p>
    <w:p w14:paraId="25AAA98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Statistical Analysis</w:t>
      </w:r>
    </w:p>
    <w:p w14:paraId="1F378EE5"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All numerical findings were recorded and organized in a broadsheet using Microsoft Excel. Descriptive statistics were applied, and results were expressed as mean ± standard deviation (SD). To assess inter-group heterogeneity across various biological parameters, statistical significance was evaluated using a one-way ANOVA test in SPSS software version 16. A p-value of less than 0.05 (p &lt; 0.05) was considered statistically significant.</w:t>
      </w:r>
    </w:p>
    <w:p w14:paraId="3171A6A8" w14:textId="77777777" w:rsidR="000A10BB" w:rsidRPr="0084376A" w:rsidRDefault="000A10BB" w:rsidP="000A10BB">
      <w:pPr>
        <w:spacing w:line="360" w:lineRule="auto"/>
        <w:jc w:val="both"/>
        <w:rPr>
          <w:rFonts w:ascii="Times New Roman" w:hAnsi="Times New Roman" w:cs="Times New Roman"/>
          <w:sz w:val="24"/>
          <w:szCs w:val="24"/>
        </w:rPr>
      </w:pPr>
      <w:r w:rsidRPr="0024475D">
        <w:rPr>
          <w:rFonts w:ascii="Times New Roman" w:hAnsi="Times New Roman" w:cs="Times New Roman"/>
          <w:b/>
          <w:sz w:val="24"/>
          <w:szCs w:val="24"/>
        </w:rPr>
        <w:t>Results and discussion</w:t>
      </w:r>
    </w:p>
    <w:p w14:paraId="70134F19" w14:textId="77777777" w:rsidR="000A10BB" w:rsidRDefault="000A10BB" w:rsidP="000A10BB">
      <w:pPr>
        <w:pStyle w:val="Heading3"/>
        <w:shd w:val="clear" w:color="auto" w:fill="FFFFFF"/>
        <w:spacing w:before="0" w:beforeAutospacing="0" w:after="80" w:afterAutospacing="0" w:line="360" w:lineRule="auto"/>
        <w:jc w:val="both"/>
        <w:rPr>
          <w:b w:val="0"/>
          <w:bCs w:val="0"/>
          <w:color w:val="000000"/>
          <w:sz w:val="24"/>
          <w:szCs w:val="24"/>
        </w:rPr>
      </w:pPr>
      <w:r w:rsidRPr="0024475D">
        <w:rPr>
          <w:b w:val="0"/>
          <w:bCs w:val="0"/>
          <w:color w:val="000000"/>
          <w:sz w:val="24"/>
          <w:szCs w:val="24"/>
        </w:rPr>
        <w:t xml:space="preserve">Herbal medicine is the use of medicinal plants to prevent and treat illness. This may vary from traditional and popular remedies found in all cultures to the use of standardized and tritated herbal extracts. In this work, we investigated the anti-diabetic and lipid profiles of the herb Ocimum sanctum in mice. Diabetes is one of the most important health concerns of the twenty-first century. It is one of the major causes of mortality, and diabetic macro- and microvascular complications cause increased disability and high healthcare costs. Only the 900 mg/kg dosage demonstrated statistically significant (p &lt; 0.05) antidiabetic efficacy when compared to the 300, 600, and 900 mg/kg doses. Several studies yielded equivalent findings [20-22]. Despite a small decline in HDL, LDL, and total cholesterol, no group showed statistically meaningful results. Triglyceride, SGPT, and SGOT levels were statistically significant (p &lt; 0.05) in groups 5 and 6, at doses of 600 and 900 mg/kg. Other investigations on similar studies found the same results </w:t>
      </w:r>
      <w:r w:rsidRPr="0024475D">
        <w:rPr>
          <w:b w:val="0"/>
          <w:bCs w:val="0"/>
          <w:color w:val="000000"/>
          <w:sz w:val="24"/>
          <w:szCs w:val="24"/>
        </w:rPr>
        <w:lastRenderedPageBreak/>
        <w:t>[23]. In the kidney function test, urea exhibited statistically significant results (92.08±6.52*) in group 6 at a dosage of 900 mg/kg. Groups 5 and 6 had statistically significant creatinine results at 600 and 900 mg/kg doses (2.23±0.70* and 1.83±0.58*, respectively). Further research on such an experiment yields the same findings [24].</w:t>
      </w:r>
    </w:p>
    <w:p w14:paraId="2FCE6AA5"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p>
    <w:p w14:paraId="1CDDF97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noProof/>
          <w:sz w:val="24"/>
          <w:szCs w:val="24"/>
        </w:rPr>
        <w:drawing>
          <wp:anchor distT="0" distB="0" distL="114300" distR="114300" simplePos="0" relativeHeight="251659264" behindDoc="0" locked="0" layoutInCell="1" allowOverlap="1" wp14:anchorId="6F8717F7" wp14:editId="2CAF4E9A">
            <wp:simplePos x="0" y="0"/>
            <wp:positionH relativeFrom="margin">
              <wp:align>right</wp:align>
            </wp:positionH>
            <wp:positionV relativeFrom="paragraph">
              <wp:posOffset>303530</wp:posOffset>
            </wp:positionV>
            <wp:extent cx="5943600" cy="3832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14:sizeRelH relativeFrom="page">
              <wp14:pctWidth>0</wp14:pctWidth>
            </wp14:sizeRelH>
            <wp14:sizeRelV relativeFrom="page">
              <wp14:pctHeight>0</wp14:pctHeight>
            </wp14:sizeRelV>
          </wp:anchor>
        </w:drawing>
      </w:r>
      <w:r w:rsidRPr="0024475D">
        <w:rPr>
          <w:rFonts w:ascii="Times New Roman" w:hAnsi="Times New Roman" w:cs="Times New Roman"/>
          <w:b/>
          <w:sz w:val="24"/>
          <w:szCs w:val="24"/>
        </w:rPr>
        <w:t xml:space="preserve">   </w:t>
      </w:r>
    </w:p>
    <w:p w14:paraId="0AB7DC38" w14:textId="77777777" w:rsidR="000A10BB" w:rsidRDefault="000A10BB" w:rsidP="000A10BB">
      <w:pPr>
        <w:spacing w:line="360" w:lineRule="auto"/>
        <w:jc w:val="both"/>
        <w:rPr>
          <w:rFonts w:ascii="Times New Roman" w:hAnsi="Times New Roman" w:cs="Times New Roman"/>
          <w:b/>
          <w:sz w:val="24"/>
          <w:szCs w:val="24"/>
        </w:rPr>
      </w:pPr>
    </w:p>
    <w:p w14:paraId="4A87F43C" w14:textId="77777777" w:rsidR="000A10BB" w:rsidRDefault="000A10BB" w:rsidP="000A10BB">
      <w:pPr>
        <w:spacing w:line="360" w:lineRule="auto"/>
        <w:jc w:val="both"/>
        <w:rPr>
          <w:rFonts w:ascii="Times New Roman" w:hAnsi="Times New Roman" w:cs="Times New Roman"/>
          <w:b/>
          <w:sz w:val="24"/>
          <w:szCs w:val="24"/>
        </w:rPr>
      </w:pPr>
    </w:p>
    <w:p w14:paraId="5CB17BDC" w14:textId="77777777" w:rsidR="000A10BB" w:rsidRDefault="000A10BB" w:rsidP="000A10BB">
      <w:pPr>
        <w:spacing w:line="360" w:lineRule="auto"/>
        <w:jc w:val="both"/>
        <w:rPr>
          <w:rFonts w:ascii="Times New Roman" w:hAnsi="Times New Roman" w:cs="Times New Roman"/>
          <w:b/>
          <w:sz w:val="24"/>
          <w:szCs w:val="24"/>
        </w:rPr>
      </w:pPr>
    </w:p>
    <w:p w14:paraId="1FE98D80" w14:textId="77777777" w:rsidR="000A10BB" w:rsidRDefault="000A10BB" w:rsidP="000A10BB">
      <w:pPr>
        <w:spacing w:line="360" w:lineRule="auto"/>
        <w:jc w:val="both"/>
        <w:rPr>
          <w:rFonts w:ascii="Times New Roman" w:hAnsi="Times New Roman" w:cs="Times New Roman"/>
          <w:b/>
          <w:sz w:val="24"/>
          <w:szCs w:val="24"/>
        </w:rPr>
      </w:pPr>
    </w:p>
    <w:p w14:paraId="5DE63486" w14:textId="77777777" w:rsidR="000A10BB" w:rsidRDefault="000A10BB" w:rsidP="000A10BB">
      <w:pPr>
        <w:spacing w:line="360" w:lineRule="auto"/>
        <w:jc w:val="both"/>
        <w:rPr>
          <w:rFonts w:ascii="Times New Roman" w:hAnsi="Times New Roman" w:cs="Times New Roman"/>
          <w:b/>
          <w:sz w:val="24"/>
          <w:szCs w:val="24"/>
        </w:rPr>
      </w:pPr>
    </w:p>
    <w:p w14:paraId="6379EE64" w14:textId="77777777" w:rsidR="000A10BB" w:rsidRDefault="000A10BB" w:rsidP="000A10BB">
      <w:pPr>
        <w:spacing w:line="360" w:lineRule="auto"/>
        <w:jc w:val="both"/>
        <w:rPr>
          <w:rFonts w:ascii="Times New Roman" w:hAnsi="Times New Roman" w:cs="Times New Roman"/>
          <w:b/>
          <w:sz w:val="24"/>
          <w:szCs w:val="24"/>
        </w:rPr>
      </w:pPr>
    </w:p>
    <w:p w14:paraId="57BB59E1" w14:textId="77777777" w:rsidR="000A10BB" w:rsidRDefault="000A10BB" w:rsidP="000A10BB">
      <w:pPr>
        <w:spacing w:line="360" w:lineRule="auto"/>
        <w:jc w:val="both"/>
        <w:rPr>
          <w:rFonts w:ascii="Times New Roman" w:hAnsi="Times New Roman" w:cs="Times New Roman"/>
          <w:b/>
          <w:sz w:val="24"/>
          <w:szCs w:val="24"/>
        </w:rPr>
      </w:pPr>
    </w:p>
    <w:p w14:paraId="4973E7A0" w14:textId="77777777" w:rsidR="000A10BB" w:rsidRDefault="000A10BB" w:rsidP="000A10BB">
      <w:pPr>
        <w:spacing w:line="360" w:lineRule="auto"/>
        <w:jc w:val="both"/>
        <w:rPr>
          <w:rFonts w:ascii="Times New Roman" w:hAnsi="Times New Roman" w:cs="Times New Roman"/>
          <w:b/>
          <w:sz w:val="24"/>
          <w:szCs w:val="24"/>
        </w:rPr>
      </w:pPr>
    </w:p>
    <w:p w14:paraId="7E89CBA0" w14:textId="77777777" w:rsidR="000A10BB" w:rsidRDefault="000A10BB" w:rsidP="000A10BB">
      <w:pPr>
        <w:spacing w:line="360" w:lineRule="auto"/>
        <w:jc w:val="both"/>
        <w:rPr>
          <w:rFonts w:ascii="Times New Roman" w:hAnsi="Times New Roman" w:cs="Times New Roman"/>
          <w:b/>
          <w:sz w:val="24"/>
          <w:szCs w:val="24"/>
        </w:rPr>
      </w:pPr>
    </w:p>
    <w:p w14:paraId="0755A58D" w14:textId="77777777" w:rsidR="000A10BB" w:rsidRDefault="000A10BB" w:rsidP="000A10BB">
      <w:pPr>
        <w:spacing w:line="360" w:lineRule="auto"/>
        <w:jc w:val="both"/>
        <w:rPr>
          <w:rFonts w:ascii="Times New Roman" w:hAnsi="Times New Roman" w:cs="Times New Roman"/>
          <w:b/>
          <w:sz w:val="24"/>
          <w:szCs w:val="24"/>
        </w:rPr>
      </w:pPr>
    </w:p>
    <w:p w14:paraId="7BBCBF67" w14:textId="77777777" w:rsidR="000A10BB" w:rsidRDefault="000A10BB" w:rsidP="000A10BB">
      <w:pPr>
        <w:spacing w:line="360" w:lineRule="auto"/>
        <w:jc w:val="both"/>
        <w:rPr>
          <w:rFonts w:ascii="Times New Roman" w:hAnsi="Times New Roman" w:cs="Times New Roman"/>
          <w:b/>
          <w:sz w:val="24"/>
          <w:szCs w:val="24"/>
        </w:rPr>
      </w:pPr>
    </w:p>
    <w:p w14:paraId="1307C091" w14:textId="77777777" w:rsidR="000A10BB" w:rsidRDefault="000A10BB" w:rsidP="000A10BB">
      <w:pPr>
        <w:spacing w:line="360" w:lineRule="auto"/>
        <w:jc w:val="center"/>
        <w:rPr>
          <w:rFonts w:ascii="Times New Roman" w:hAnsi="Times New Roman" w:cs="Times New Roman"/>
          <w:b/>
          <w:noProof/>
          <w:sz w:val="24"/>
          <w:szCs w:val="24"/>
        </w:rPr>
      </w:pPr>
      <w:r w:rsidRPr="00A82852">
        <w:rPr>
          <w:rFonts w:ascii="Times New Roman" w:hAnsi="Times New Roman" w:cs="Times New Roman"/>
          <w:b/>
          <w:sz w:val="24"/>
          <w:szCs w:val="24"/>
        </w:rPr>
        <w:t xml:space="preserve">Figure 1: </w:t>
      </w:r>
      <w:r w:rsidRPr="00A82852">
        <w:rPr>
          <w:rFonts w:ascii="Times New Roman" w:hAnsi="Times New Roman" w:cs="Times New Roman"/>
          <w:sz w:val="24"/>
          <w:szCs w:val="24"/>
        </w:rPr>
        <w:t xml:space="preserve">Antidiabetic activity of different dose of </w:t>
      </w:r>
      <w:r w:rsidRPr="0024475D">
        <w:rPr>
          <w:rFonts w:ascii="Times New Roman" w:hAnsi="Times New Roman" w:cs="Times New Roman"/>
          <w:i/>
          <w:iCs/>
          <w:color w:val="000000"/>
          <w:sz w:val="24"/>
          <w:szCs w:val="24"/>
        </w:rPr>
        <w:t>Ocimum sanctum</w:t>
      </w:r>
    </w:p>
    <w:p w14:paraId="2B732EC1" w14:textId="77777777" w:rsidR="000A10BB" w:rsidRPr="00A82852" w:rsidRDefault="000A10BB" w:rsidP="000A10BB">
      <w:pPr>
        <w:spacing w:after="0" w:line="360" w:lineRule="auto"/>
        <w:jc w:val="both"/>
        <w:rPr>
          <w:rFonts w:ascii="Times New Roman" w:eastAsia="Times New Roman" w:hAnsi="Times New Roman" w:cs="Times New Roman"/>
          <w:b/>
          <w:sz w:val="24"/>
          <w:szCs w:val="24"/>
        </w:rPr>
      </w:pPr>
    </w:p>
    <w:tbl>
      <w:tblPr>
        <w:tblStyle w:val="TableGrid"/>
        <w:tblpPr w:leftFromText="180" w:rightFromText="180" w:vertAnchor="text" w:horzAnchor="margin" w:tblpXSpec="center" w:tblpY="284"/>
        <w:tblW w:w="11497" w:type="dxa"/>
        <w:tblLayout w:type="fixed"/>
        <w:tblLook w:val="04A0" w:firstRow="1" w:lastRow="0" w:firstColumn="1" w:lastColumn="0" w:noHBand="0" w:noVBand="1"/>
      </w:tblPr>
      <w:tblGrid>
        <w:gridCol w:w="787"/>
        <w:gridCol w:w="1440"/>
        <w:gridCol w:w="1350"/>
        <w:gridCol w:w="1620"/>
        <w:gridCol w:w="1440"/>
        <w:gridCol w:w="1080"/>
        <w:gridCol w:w="1170"/>
        <w:gridCol w:w="1350"/>
        <w:gridCol w:w="1260"/>
      </w:tblGrid>
      <w:tr w:rsidR="000A10BB" w:rsidRPr="00542938" w14:paraId="41126453" w14:textId="77777777" w:rsidTr="00A16AAE">
        <w:trPr>
          <w:trHeight w:val="305"/>
        </w:trPr>
        <w:tc>
          <w:tcPr>
            <w:tcW w:w="787" w:type="dxa"/>
          </w:tcPr>
          <w:p w14:paraId="7CD55ECD"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Groups</w:t>
            </w:r>
          </w:p>
        </w:tc>
        <w:tc>
          <w:tcPr>
            <w:tcW w:w="1440" w:type="dxa"/>
          </w:tcPr>
          <w:p w14:paraId="20A2E39F"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Total Cholesterol</w:t>
            </w:r>
          </w:p>
        </w:tc>
        <w:tc>
          <w:tcPr>
            <w:tcW w:w="1350" w:type="dxa"/>
          </w:tcPr>
          <w:p w14:paraId="24031C10"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HDL</w:t>
            </w:r>
          </w:p>
          <w:p w14:paraId="2658485D" w14:textId="77777777" w:rsidR="000A10BB" w:rsidRPr="00542938" w:rsidRDefault="000A10BB" w:rsidP="00A16AAE">
            <w:pPr>
              <w:jc w:val="both"/>
              <w:rPr>
                <w:rFonts w:ascii="Times New Roman" w:hAnsi="Times New Roman" w:cs="Times New Roman"/>
                <w:b/>
                <w:sz w:val="24"/>
                <w:szCs w:val="24"/>
              </w:rPr>
            </w:pPr>
          </w:p>
        </w:tc>
        <w:tc>
          <w:tcPr>
            <w:tcW w:w="1620" w:type="dxa"/>
          </w:tcPr>
          <w:p w14:paraId="23DCD441"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LDL</w:t>
            </w:r>
          </w:p>
        </w:tc>
        <w:tc>
          <w:tcPr>
            <w:tcW w:w="1440" w:type="dxa"/>
          </w:tcPr>
          <w:p w14:paraId="69C78B7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Triglyceride</w:t>
            </w:r>
          </w:p>
        </w:tc>
        <w:tc>
          <w:tcPr>
            <w:tcW w:w="1080" w:type="dxa"/>
          </w:tcPr>
          <w:p w14:paraId="273F3E5C"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SGPT</w:t>
            </w:r>
          </w:p>
        </w:tc>
        <w:tc>
          <w:tcPr>
            <w:tcW w:w="1170" w:type="dxa"/>
          </w:tcPr>
          <w:p w14:paraId="4048243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SGOT</w:t>
            </w:r>
          </w:p>
        </w:tc>
        <w:tc>
          <w:tcPr>
            <w:tcW w:w="1350" w:type="dxa"/>
          </w:tcPr>
          <w:p w14:paraId="2AA329A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Urea</w:t>
            </w:r>
          </w:p>
        </w:tc>
        <w:tc>
          <w:tcPr>
            <w:tcW w:w="1260" w:type="dxa"/>
          </w:tcPr>
          <w:p w14:paraId="5082B2C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Creatinine</w:t>
            </w:r>
          </w:p>
        </w:tc>
      </w:tr>
      <w:tr w:rsidR="000A10BB" w:rsidRPr="00542938" w14:paraId="671E0E01" w14:textId="77777777" w:rsidTr="00A16AAE">
        <w:trPr>
          <w:trHeight w:val="332"/>
        </w:trPr>
        <w:tc>
          <w:tcPr>
            <w:tcW w:w="787" w:type="dxa"/>
          </w:tcPr>
          <w:p w14:paraId="799F95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N</w:t>
            </w:r>
          </w:p>
        </w:tc>
        <w:tc>
          <w:tcPr>
            <w:tcW w:w="1440" w:type="dxa"/>
          </w:tcPr>
          <w:p w14:paraId="7A3DD9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118.28±5.90</w:t>
            </w:r>
          </w:p>
        </w:tc>
        <w:tc>
          <w:tcPr>
            <w:tcW w:w="1350" w:type="dxa"/>
          </w:tcPr>
          <w:p w14:paraId="31C635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92.90±5.10</w:t>
            </w:r>
          </w:p>
        </w:tc>
        <w:tc>
          <w:tcPr>
            <w:tcW w:w="1620" w:type="dxa"/>
          </w:tcPr>
          <w:p w14:paraId="1BFFDB0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21.77±6.28</w:t>
            </w:r>
          </w:p>
        </w:tc>
        <w:tc>
          <w:tcPr>
            <w:tcW w:w="1440" w:type="dxa"/>
          </w:tcPr>
          <w:p w14:paraId="418164D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51.57±4.29</w:t>
            </w:r>
          </w:p>
        </w:tc>
        <w:tc>
          <w:tcPr>
            <w:tcW w:w="1080" w:type="dxa"/>
          </w:tcPr>
          <w:p w14:paraId="1C0778A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35.29±3.77</w:t>
            </w:r>
          </w:p>
        </w:tc>
        <w:tc>
          <w:tcPr>
            <w:tcW w:w="1170" w:type="dxa"/>
          </w:tcPr>
          <w:p w14:paraId="65ABAC7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37.82±4.18</w:t>
            </w:r>
          </w:p>
        </w:tc>
        <w:tc>
          <w:tcPr>
            <w:tcW w:w="1350" w:type="dxa"/>
          </w:tcPr>
          <w:p w14:paraId="0604A50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38.46±4.25</w:t>
            </w:r>
          </w:p>
        </w:tc>
        <w:tc>
          <w:tcPr>
            <w:tcW w:w="1260" w:type="dxa"/>
          </w:tcPr>
          <w:p w14:paraId="7B3CD0A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0.82±0.09</w:t>
            </w:r>
          </w:p>
        </w:tc>
      </w:tr>
      <w:tr w:rsidR="000A10BB" w:rsidRPr="00542938" w14:paraId="568B85E6" w14:textId="77777777" w:rsidTr="00A16AAE">
        <w:trPr>
          <w:trHeight w:val="584"/>
        </w:trPr>
        <w:tc>
          <w:tcPr>
            <w:tcW w:w="787" w:type="dxa"/>
          </w:tcPr>
          <w:p w14:paraId="070C2D2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w:t>
            </w:r>
          </w:p>
        </w:tc>
        <w:tc>
          <w:tcPr>
            <w:tcW w:w="1440" w:type="dxa"/>
          </w:tcPr>
          <w:p w14:paraId="792C32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212.49±12.49</w:t>
            </w:r>
          </w:p>
        </w:tc>
        <w:tc>
          <w:tcPr>
            <w:tcW w:w="1350" w:type="dxa"/>
          </w:tcPr>
          <w:p w14:paraId="2FACF23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46.50±6.28</w:t>
            </w:r>
          </w:p>
        </w:tc>
        <w:tc>
          <w:tcPr>
            <w:tcW w:w="1620" w:type="dxa"/>
          </w:tcPr>
          <w:p w14:paraId="18D628B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142.26±9.76</w:t>
            </w:r>
          </w:p>
        </w:tc>
        <w:tc>
          <w:tcPr>
            <w:tcW w:w="1440" w:type="dxa"/>
          </w:tcPr>
          <w:p w14:paraId="6AE5A9E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114.57±9.19</w:t>
            </w:r>
          </w:p>
        </w:tc>
        <w:tc>
          <w:tcPr>
            <w:tcW w:w="1080" w:type="dxa"/>
          </w:tcPr>
          <w:p w14:paraId="07B5166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95.62±8.63</w:t>
            </w:r>
          </w:p>
        </w:tc>
        <w:tc>
          <w:tcPr>
            <w:tcW w:w="1170" w:type="dxa"/>
          </w:tcPr>
          <w:p w14:paraId="492972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90.50±8.21</w:t>
            </w:r>
          </w:p>
        </w:tc>
        <w:tc>
          <w:tcPr>
            <w:tcW w:w="1350" w:type="dxa"/>
          </w:tcPr>
          <w:p w14:paraId="562875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104.53±9.24</w:t>
            </w:r>
          </w:p>
        </w:tc>
        <w:tc>
          <w:tcPr>
            <w:tcW w:w="1260" w:type="dxa"/>
          </w:tcPr>
          <w:p w14:paraId="692BF60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2.81±0.74</w:t>
            </w:r>
          </w:p>
        </w:tc>
      </w:tr>
      <w:tr w:rsidR="000A10BB" w:rsidRPr="00542938" w14:paraId="5E0C6A08" w14:textId="77777777" w:rsidTr="00A16AAE">
        <w:trPr>
          <w:trHeight w:val="521"/>
        </w:trPr>
        <w:tc>
          <w:tcPr>
            <w:tcW w:w="787" w:type="dxa"/>
          </w:tcPr>
          <w:p w14:paraId="419CAA5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A+M</w:t>
            </w:r>
            <w:r w:rsidRPr="00542938">
              <w:rPr>
                <w:rFonts w:ascii="Times New Roman" w:hAnsi="Times New Roman" w:cs="Times New Roman"/>
                <w:sz w:val="24"/>
                <w:szCs w:val="24"/>
                <w:vertAlign w:val="subscript"/>
              </w:rPr>
              <w:t>100</w:t>
            </w:r>
          </w:p>
        </w:tc>
        <w:tc>
          <w:tcPr>
            <w:tcW w:w="1440" w:type="dxa"/>
          </w:tcPr>
          <w:p w14:paraId="323F80A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142.28±9.29</w:t>
            </w:r>
          </w:p>
        </w:tc>
        <w:tc>
          <w:tcPr>
            <w:tcW w:w="1350" w:type="dxa"/>
          </w:tcPr>
          <w:p w14:paraId="493777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74.73±6.28</w:t>
            </w:r>
          </w:p>
        </w:tc>
        <w:tc>
          <w:tcPr>
            <w:tcW w:w="1620" w:type="dxa"/>
          </w:tcPr>
          <w:p w14:paraId="6FF385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62.28±6.29</w:t>
            </w:r>
          </w:p>
        </w:tc>
        <w:tc>
          <w:tcPr>
            <w:tcW w:w="1440" w:type="dxa"/>
          </w:tcPr>
          <w:p w14:paraId="6C44B34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75.57±6.29</w:t>
            </w:r>
          </w:p>
        </w:tc>
        <w:tc>
          <w:tcPr>
            <w:tcW w:w="1080" w:type="dxa"/>
          </w:tcPr>
          <w:p w14:paraId="229E2C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51.22±7.50</w:t>
            </w:r>
          </w:p>
        </w:tc>
        <w:tc>
          <w:tcPr>
            <w:tcW w:w="1170" w:type="dxa"/>
          </w:tcPr>
          <w:p w14:paraId="2924646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46.52±4.50</w:t>
            </w:r>
          </w:p>
        </w:tc>
        <w:tc>
          <w:tcPr>
            <w:tcW w:w="1350" w:type="dxa"/>
          </w:tcPr>
          <w:p w14:paraId="742D8E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55.53±4.29</w:t>
            </w:r>
          </w:p>
        </w:tc>
        <w:tc>
          <w:tcPr>
            <w:tcW w:w="1260" w:type="dxa"/>
          </w:tcPr>
          <w:p w14:paraId="12B8FE9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1.22±0.65</w:t>
            </w:r>
          </w:p>
        </w:tc>
      </w:tr>
      <w:tr w:rsidR="000A10BB" w:rsidRPr="00542938" w14:paraId="505C0BB9" w14:textId="77777777" w:rsidTr="00A16AAE">
        <w:trPr>
          <w:trHeight w:val="503"/>
        </w:trPr>
        <w:tc>
          <w:tcPr>
            <w:tcW w:w="787" w:type="dxa"/>
          </w:tcPr>
          <w:p w14:paraId="1D4C9A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lastRenderedPageBreak/>
              <w:t>A+OS</w:t>
            </w:r>
            <w:r w:rsidRPr="00542938">
              <w:rPr>
                <w:rFonts w:ascii="Times New Roman" w:hAnsi="Times New Roman" w:cs="Times New Roman"/>
                <w:sz w:val="24"/>
                <w:szCs w:val="24"/>
                <w:vertAlign w:val="subscript"/>
              </w:rPr>
              <w:t>300</w:t>
            </w:r>
          </w:p>
        </w:tc>
        <w:tc>
          <w:tcPr>
            <w:tcW w:w="1440" w:type="dxa"/>
          </w:tcPr>
          <w:p w14:paraId="1EBF138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210.46±8.50</w:t>
            </w:r>
          </w:p>
        </w:tc>
        <w:tc>
          <w:tcPr>
            <w:tcW w:w="1350" w:type="dxa"/>
          </w:tcPr>
          <w:p w14:paraId="235D195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49.21±5.02</w:t>
            </w:r>
          </w:p>
        </w:tc>
        <w:tc>
          <w:tcPr>
            <w:tcW w:w="1620" w:type="dxa"/>
          </w:tcPr>
          <w:p w14:paraId="45A18BF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141.70±7.28</w:t>
            </w:r>
          </w:p>
        </w:tc>
        <w:tc>
          <w:tcPr>
            <w:tcW w:w="1440" w:type="dxa"/>
          </w:tcPr>
          <w:p w14:paraId="6182BA5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112.08±7.29</w:t>
            </w:r>
          </w:p>
        </w:tc>
        <w:tc>
          <w:tcPr>
            <w:tcW w:w="1080" w:type="dxa"/>
          </w:tcPr>
          <w:p w14:paraId="6F33D6B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92.83±6.47</w:t>
            </w:r>
          </w:p>
        </w:tc>
        <w:tc>
          <w:tcPr>
            <w:tcW w:w="1170" w:type="dxa"/>
          </w:tcPr>
          <w:p w14:paraId="32C080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86.28±6.97</w:t>
            </w:r>
          </w:p>
        </w:tc>
        <w:tc>
          <w:tcPr>
            <w:tcW w:w="1350" w:type="dxa"/>
          </w:tcPr>
          <w:p w14:paraId="1E03D37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101.28±6.50</w:t>
            </w:r>
          </w:p>
        </w:tc>
        <w:tc>
          <w:tcPr>
            <w:tcW w:w="1260" w:type="dxa"/>
          </w:tcPr>
          <w:p w14:paraId="13D43E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2.52±0.82</w:t>
            </w:r>
          </w:p>
        </w:tc>
      </w:tr>
      <w:tr w:rsidR="000A10BB" w:rsidRPr="00542938" w14:paraId="4F5B5B9A" w14:textId="77777777" w:rsidTr="00A16AAE">
        <w:trPr>
          <w:trHeight w:val="386"/>
        </w:trPr>
        <w:tc>
          <w:tcPr>
            <w:tcW w:w="787" w:type="dxa"/>
          </w:tcPr>
          <w:p w14:paraId="763AA41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 OS</w:t>
            </w:r>
            <w:r w:rsidRPr="00542938">
              <w:rPr>
                <w:rFonts w:ascii="Times New Roman" w:hAnsi="Times New Roman" w:cs="Times New Roman"/>
                <w:sz w:val="24"/>
                <w:szCs w:val="24"/>
                <w:vertAlign w:val="subscript"/>
              </w:rPr>
              <w:t>600</w:t>
            </w:r>
          </w:p>
        </w:tc>
        <w:tc>
          <w:tcPr>
            <w:tcW w:w="1440" w:type="dxa"/>
          </w:tcPr>
          <w:p w14:paraId="42B668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206.18±7.58</w:t>
            </w:r>
          </w:p>
        </w:tc>
        <w:tc>
          <w:tcPr>
            <w:tcW w:w="1350" w:type="dxa"/>
          </w:tcPr>
          <w:p w14:paraId="6AE1C4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51.47±4.20</w:t>
            </w:r>
          </w:p>
        </w:tc>
        <w:tc>
          <w:tcPr>
            <w:tcW w:w="1620" w:type="dxa"/>
          </w:tcPr>
          <w:p w14:paraId="7229D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135.77±5.01</w:t>
            </w:r>
          </w:p>
        </w:tc>
        <w:tc>
          <w:tcPr>
            <w:tcW w:w="1440" w:type="dxa"/>
          </w:tcPr>
          <w:p w14:paraId="4A1988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110.08±9.73</w:t>
            </w:r>
          </w:p>
        </w:tc>
        <w:tc>
          <w:tcPr>
            <w:tcW w:w="1080" w:type="dxa"/>
          </w:tcPr>
          <w:p w14:paraId="509506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88.36±7.48*</w:t>
            </w:r>
          </w:p>
        </w:tc>
        <w:tc>
          <w:tcPr>
            <w:tcW w:w="1170" w:type="dxa"/>
          </w:tcPr>
          <w:p w14:paraId="002A7B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82.77±7.50</w:t>
            </w:r>
          </w:p>
        </w:tc>
        <w:tc>
          <w:tcPr>
            <w:tcW w:w="1350" w:type="dxa"/>
          </w:tcPr>
          <w:p w14:paraId="78D6F40F" w14:textId="77777777" w:rsidR="000A10BB" w:rsidRPr="00542938" w:rsidRDefault="000A10BB" w:rsidP="00A16AAE">
            <w:pPr>
              <w:jc w:val="both"/>
              <w:rPr>
                <w:rFonts w:ascii="Times New Roman" w:hAnsi="Times New Roman" w:cs="Times New Roman"/>
                <w:sz w:val="24"/>
                <w:szCs w:val="24"/>
                <w:vertAlign w:val="superscript"/>
              </w:rPr>
            </w:pPr>
            <w:r w:rsidRPr="00542938">
              <w:rPr>
                <w:rFonts w:ascii="Times New Roman" w:hAnsi="Times New Roman" w:cs="Times New Roman"/>
                <w:sz w:val="24"/>
                <w:szCs w:val="24"/>
                <w:vertAlign w:val="superscript"/>
              </w:rPr>
              <w:t>97.24</w:t>
            </w:r>
            <w:r w:rsidRPr="00542938">
              <w:rPr>
                <w:rFonts w:ascii="Times New Roman" w:hAnsi="Times New Roman" w:cs="Times New Roman"/>
                <w:sz w:val="24"/>
                <w:szCs w:val="24"/>
              </w:rPr>
              <w:t>±7.52</w:t>
            </w:r>
          </w:p>
        </w:tc>
        <w:tc>
          <w:tcPr>
            <w:tcW w:w="1260" w:type="dxa"/>
          </w:tcPr>
          <w:p w14:paraId="695DD25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2.23±0.70*</w:t>
            </w:r>
          </w:p>
        </w:tc>
      </w:tr>
      <w:tr w:rsidR="000A10BB" w:rsidRPr="00542938" w14:paraId="088EBD75" w14:textId="77777777" w:rsidTr="00A16AAE">
        <w:trPr>
          <w:trHeight w:val="458"/>
        </w:trPr>
        <w:tc>
          <w:tcPr>
            <w:tcW w:w="787" w:type="dxa"/>
          </w:tcPr>
          <w:p w14:paraId="7ED5F06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 OS</w:t>
            </w:r>
            <w:r w:rsidRPr="00542938">
              <w:rPr>
                <w:rFonts w:ascii="Times New Roman" w:hAnsi="Times New Roman" w:cs="Times New Roman"/>
                <w:sz w:val="24"/>
                <w:szCs w:val="24"/>
                <w:vertAlign w:val="subscript"/>
              </w:rPr>
              <w:t>900</w:t>
            </w:r>
          </w:p>
        </w:tc>
        <w:tc>
          <w:tcPr>
            <w:tcW w:w="1440" w:type="dxa"/>
          </w:tcPr>
          <w:p w14:paraId="7075320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203.83±6.10</w:t>
            </w:r>
          </w:p>
        </w:tc>
        <w:tc>
          <w:tcPr>
            <w:tcW w:w="1350" w:type="dxa"/>
          </w:tcPr>
          <w:p w14:paraId="5B0D2BC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53.08±3.80</w:t>
            </w:r>
          </w:p>
        </w:tc>
        <w:tc>
          <w:tcPr>
            <w:tcW w:w="1620" w:type="dxa"/>
          </w:tcPr>
          <w:p w14:paraId="2356620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130.21±7.83</w:t>
            </w:r>
          </w:p>
        </w:tc>
        <w:tc>
          <w:tcPr>
            <w:tcW w:w="1440" w:type="dxa"/>
          </w:tcPr>
          <w:p w14:paraId="43FB07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107.04±8.28</w:t>
            </w:r>
          </w:p>
        </w:tc>
        <w:tc>
          <w:tcPr>
            <w:tcW w:w="1080" w:type="dxa"/>
          </w:tcPr>
          <w:p w14:paraId="1062319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83.54±6.28*</w:t>
            </w:r>
          </w:p>
        </w:tc>
        <w:tc>
          <w:tcPr>
            <w:tcW w:w="1170" w:type="dxa"/>
          </w:tcPr>
          <w:p w14:paraId="221655F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79.42±6.28</w:t>
            </w:r>
          </w:p>
        </w:tc>
        <w:tc>
          <w:tcPr>
            <w:tcW w:w="1350" w:type="dxa"/>
          </w:tcPr>
          <w:p w14:paraId="4DEC96D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92.08±6.52*</w:t>
            </w:r>
          </w:p>
        </w:tc>
        <w:tc>
          <w:tcPr>
            <w:tcW w:w="1260" w:type="dxa"/>
          </w:tcPr>
          <w:p w14:paraId="08643D4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1.83±0.58*</w:t>
            </w:r>
          </w:p>
        </w:tc>
      </w:tr>
      <w:tr w:rsidR="000A10BB" w:rsidRPr="00542938" w14:paraId="70B86E2B" w14:textId="77777777" w:rsidTr="00A16AAE">
        <w:trPr>
          <w:trHeight w:val="440"/>
        </w:trPr>
        <w:tc>
          <w:tcPr>
            <w:tcW w:w="787" w:type="dxa"/>
          </w:tcPr>
          <w:p w14:paraId="6706F8FC" w14:textId="77777777" w:rsidR="000A10BB" w:rsidRPr="00542938" w:rsidRDefault="000A10BB" w:rsidP="00A16AAE">
            <w:pPr>
              <w:jc w:val="both"/>
              <w:rPr>
                <w:rFonts w:ascii="Times New Roman" w:hAnsi="Times New Roman" w:cs="Times New Roman"/>
                <w:sz w:val="24"/>
                <w:szCs w:val="24"/>
                <w:vertAlign w:val="subscript"/>
              </w:rPr>
            </w:pPr>
            <w:r w:rsidRPr="00542938">
              <w:rPr>
                <w:rFonts w:ascii="Times New Roman" w:hAnsi="Times New Roman" w:cs="Times New Roman"/>
                <w:sz w:val="24"/>
                <w:szCs w:val="24"/>
              </w:rPr>
              <w:t>M</w:t>
            </w:r>
            <w:r w:rsidRPr="00542938">
              <w:rPr>
                <w:rFonts w:ascii="Times New Roman" w:hAnsi="Times New Roman" w:cs="Times New Roman"/>
                <w:sz w:val="24"/>
                <w:szCs w:val="24"/>
                <w:vertAlign w:val="subscript"/>
              </w:rPr>
              <w:t>100</w:t>
            </w:r>
          </w:p>
        </w:tc>
        <w:tc>
          <w:tcPr>
            <w:tcW w:w="1440" w:type="dxa"/>
          </w:tcPr>
          <w:p w14:paraId="118AC05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114.28±4.10</w:t>
            </w:r>
          </w:p>
        </w:tc>
        <w:tc>
          <w:tcPr>
            <w:tcW w:w="1350" w:type="dxa"/>
          </w:tcPr>
          <w:p w14:paraId="130115C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94.80±4.28</w:t>
            </w:r>
          </w:p>
        </w:tc>
        <w:tc>
          <w:tcPr>
            <w:tcW w:w="1620" w:type="dxa"/>
          </w:tcPr>
          <w:p w14:paraId="2BAC72A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20.01±2.32</w:t>
            </w:r>
          </w:p>
        </w:tc>
        <w:tc>
          <w:tcPr>
            <w:tcW w:w="1440" w:type="dxa"/>
          </w:tcPr>
          <w:p w14:paraId="11B6DC2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50.24±4.50</w:t>
            </w:r>
          </w:p>
        </w:tc>
        <w:tc>
          <w:tcPr>
            <w:tcW w:w="1080" w:type="dxa"/>
          </w:tcPr>
          <w:p w14:paraId="2F280D6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38.22±4.21</w:t>
            </w:r>
          </w:p>
        </w:tc>
        <w:tc>
          <w:tcPr>
            <w:tcW w:w="1170" w:type="dxa"/>
          </w:tcPr>
          <w:p w14:paraId="2E96BE0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40.52±2.53</w:t>
            </w:r>
          </w:p>
        </w:tc>
        <w:tc>
          <w:tcPr>
            <w:tcW w:w="1350" w:type="dxa"/>
          </w:tcPr>
          <w:p w14:paraId="6803C5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40.52±3.76</w:t>
            </w:r>
          </w:p>
        </w:tc>
        <w:tc>
          <w:tcPr>
            <w:tcW w:w="1260" w:type="dxa"/>
          </w:tcPr>
          <w:p w14:paraId="73BB3A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0.75±0.08</w:t>
            </w:r>
          </w:p>
        </w:tc>
      </w:tr>
      <w:tr w:rsidR="000A10BB" w:rsidRPr="00542938" w14:paraId="3C72F5CB" w14:textId="77777777" w:rsidTr="00A16AAE">
        <w:trPr>
          <w:trHeight w:val="503"/>
        </w:trPr>
        <w:tc>
          <w:tcPr>
            <w:tcW w:w="787" w:type="dxa"/>
          </w:tcPr>
          <w:p w14:paraId="6E674B7F" w14:textId="77777777" w:rsidR="000A10BB" w:rsidRPr="00542938" w:rsidRDefault="000A10BB" w:rsidP="00A16AAE">
            <w:pPr>
              <w:tabs>
                <w:tab w:val="left" w:pos="195"/>
                <w:tab w:val="center" w:pos="474"/>
              </w:tabs>
              <w:jc w:val="both"/>
              <w:rPr>
                <w:rFonts w:ascii="Times New Roman" w:hAnsi="Times New Roman" w:cs="Times New Roman"/>
                <w:sz w:val="24"/>
                <w:szCs w:val="24"/>
              </w:rPr>
            </w:pPr>
            <w:r w:rsidRPr="00542938">
              <w:rPr>
                <w:rFonts w:ascii="Times New Roman" w:hAnsi="Times New Roman" w:cs="Times New Roman"/>
                <w:sz w:val="24"/>
                <w:szCs w:val="24"/>
              </w:rPr>
              <w:tab/>
              <w:t>OS</w:t>
            </w:r>
            <w:r w:rsidRPr="00542938">
              <w:rPr>
                <w:rFonts w:ascii="Times New Roman" w:hAnsi="Times New Roman" w:cs="Times New Roman"/>
                <w:sz w:val="24"/>
                <w:szCs w:val="24"/>
                <w:vertAlign w:val="subscript"/>
              </w:rPr>
              <w:t>300</w:t>
            </w:r>
            <w:r w:rsidRPr="00542938">
              <w:rPr>
                <w:rFonts w:ascii="Times New Roman" w:hAnsi="Times New Roman" w:cs="Times New Roman"/>
                <w:sz w:val="24"/>
                <w:szCs w:val="24"/>
              </w:rPr>
              <w:tab/>
            </w:r>
          </w:p>
        </w:tc>
        <w:tc>
          <w:tcPr>
            <w:tcW w:w="1440" w:type="dxa"/>
          </w:tcPr>
          <w:p w14:paraId="0BC84C4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117.53±5.29</w:t>
            </w:r>
          </w:p>
        </w:tc>
        <w:tc>
          <w:tcPr>
            <w:tcW w:w="1350" w:type="dxa"/>
          </w:tcPr>
          <w:p w14:paraId="1E235DD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94.70±5.28</w:t>
            </w:r>
          </w:p>
        </w:tc>
        <w:tc>
          <w:tcPr>
            <w:tcW w:w="1620" w:type="dxa"/>
          </w:tcPr>
          <w:p w14:paraId="4DD2F7D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22.77±2.82</w:t>
            </w:r>
          </w:p>
        </w:tc>
        <w:tc>
          <w:tcPr>
            <w:tcW w:w="1440" w:type="dxa"/>
          </w:tcPr>
          <w:p w14:paraId="317AAF9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52.62±3.28</w:t>
            </w:r>
          </w:p>
        </w:tc>
        <w:tc>
          <w:tcPr>
            <w:tcW w:w="1080" w:type="dxa"/>
          </w:tcPr>
          <w:p w14:paraId="4AAE644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40.46±3.42</w:t>
            </w:r>
          </w:p>
        </w:tc>
        <w:tc>
          <w:tcPr>
            <w:tcW w:w="1170" w:type="dxa"/>
          </w:tcPr>
          <w:p w14:paraId="1F49FBB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42.16±1.78</w:t>
            </w:r>
          </w:p>
        </w:tc>
        <w:tc>
          <w:tcPr>
            <w:tcW w:w="1350" w:type="dxa"/>
          </w:tcPr>
          <w:p w14:paraId="744B7CD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42.83±2.90</w:t>
            </w:r>
          </w:p>
        </w:tc>
        <w:tc>
          <w:tcPr>
            <w:tcW w:w="1260" w:type="dxa"/>
          </w:tcPr>
          <w:p w14:paraId="0F0135A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0.79±0.06</w:t>
            </w:r>
          </w:p>
        </w:tc>
      </w:tr>
      <w:tr w:rsidR="000A10BB" w:rsidRPr="00542938" w14:paraId="7D5AF97E" w14:textId="77777777" w:rsidTr="00A16AAE">
        <w:trPr>
          <w:trHeight w:val="476"/>
        </w:trPr>
        <w:tc>
          <w:tcPr>
            <w:tcW w:w="787" w:type="dxa"/>
          </w:tcPr>
          <w:p w14:paraId="214C4F3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600</w:t>
            </w:r>
          </w:p>
        </w:tc>
        <w:tc>
          <w:tcPr>
            <w:tcW w:w="1440" w:type="dxa"/>
          </w:tcPr>
          <w:p w14:paraId="07874B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116.26±6.18</w:t>
            </w:r>
          </w:p>
        </w:tc>
        <w:tc>
          <w:tcPr>
            <w:tcW w:w="1350" w:type="dxa"/>
          </w:tcPr>
          <w:p w14:paraId="6C6048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91.77±6.29</w:t>
            </w:r>
          </w:p>
        </w:tc>
        <w:tc>
          <w:tcPr>
            <w:tcW w:w="1620" w:type="dxa"/>
          </w:tcPr>
          <w:p w14:paraId="44B9D3D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24.50±3.21</w:t>
            </w:r>
          </w:p>
        </w:tc>
        <w:tc>
          <w:tcPr>
            <w:tcW w:w="1440" w:type="dxa"/>
          </w:tcPr>
          <w:p w14:paraId="280108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55.17±3.28</w:t>
            </w:r>
          </w:p>
        </w:tc>
        <w:tc>
          <w:tcPr>
            <w:tcW w:w="1080" w:type="dxa"/>
          </w:tcPr>
          <w:p w14:paraId="4AB663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39.28±3.14</w:t>
            </w:r>
          </w:p>
        </w:tc>
        <w:tc>
          <w:tcPr>
            <w:tcW w:w="1170" w:type="dxa"/>
          </w:tcPr>
          <w:p w14:paraId="5226888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37.63±3.53</w:t>
            </w:r>
          </w:p>
        </w:tc>
        <w:tc>
          <w:tcPr>
            <w:tcW w:w="1350" w:type="dxa"/>
          </w:tcPr>
          <w:p w14:paraId="2B5140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44.64±3.70</w:t>
            </w:r>
          </w:p>
        </w:tc>
        <w:tc>
          <w:tcPr>
            <w:tcW w:w="1260" w:type="dxa"/>
          </w:tcPr>
          <w:p w14:paraId="6713CAE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0.084±0.09</w:t>
            </w:r>
          </w:p>
        </w:tc>
      </w:tr>
      <w:tr w:rsidR="000A10BB" w:rsidRPr="00542938" w14:paraId="393C0BD3" w14:textId="77777777" w:rsidTr="00A16AAE">
        <w:trPr>
          <w:trHeight w:val="548"/>
        </w:trPr>
        <w:tc>
          <w:tcPr>
            <w:tcW w:w="787" w:type="dxa"/>
          </w:tcPr>
          <w:p w14:paraId="26225C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900</w:t>
            </w:r>
          </w:p>
        </w:tc>
        <w:tc>
          <w:tcPr>
            <w:tcW w:w="1440" w:type="dxa"/>
          </w:tcPr>
          <w:p w14:paraId="0F38BD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118.53±5.20</w:t>
            </w:r>
          </w:p>
        </w:tc>
        <w:tc>
          <w:tcPr>
            <w:tcW w:w="1350" w:type="dxa"/>
          </w:tcPr>
          <w:p w14:paraId="0ECB3D6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95.70±3.80</w:t>
            </w:r>
          </w:p>
        </w:tc>
        <w:tc>
          <w:tcPr>
            <w:tcW w:w="1620" w:type="dxa"/>
          </w:tcPr>
          <w:p w14:paraId="25FE9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24.90±1.80</w:t>
            </w:r>
          </w:p>
        </w:tc>
        <w:tc>
          <w:tcPr>
            <w:tcW w:w="1440" w:type="dxa"/>
          </w:tcPr>
          <w:p w14:paraId="32E31AD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53.17±4.02</w:t>
            </w:r>
          </w:p>
        </w:tc>
        <w:tc>
          <w:tcPr>
            <w:tcW w:w="1080" w:type="dxa"/>
          </w:tcPr>
          <w:p w14:paraId="4D89354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41.46±2.18</w:t>
            </w:r>
          </w:p>
        </w:tc>
        <w:tc>
          <w:tcPr>
            <w:tcW w:w="1170" w:type="dxa"/>
          </w:tcPr>
          <w:p w14:paraId="23CD74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40.52±2.81</w:t>
            </w:r>
          </w:p>
        </w:tc>
        <w:tc>
          <w:tcPr>
            <w:tcW w:w="1350" w:type="dxa"/>
          </w:tcPr>
          <w:p w14:paraId="1BF67EB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43.29±3.64</w:t>
            </w:r>
          </w:p>
        </w:tc>
        <w:tc>
          <w:tcPr>
            <w:tcW w:w="1260" w:type="dxa"/>
          </w:tcPr>
          <w:p w14:paraId="5A66EA6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0.89±0.08</w:t>
            </w:r>
          </w:p>
        </w:tc>
      </w:tr>
    </w:tbl>
    <w:p w14:paraId="4F9E6848" w14:textId="77777777" w:rsidR="000A10BB" w:rsidRDefault="000A10BB" w:rsidP="000A10BB">
      <w:pPr>
        <w:spacing w:after="0" w:line="360" w:lineRule="auto"/>
        <w:jc w:val="both"/>
        <w:rPr>
          <w:rFonts w:ascii="Times New Roman" w:eastAsia="Times New Roman" w:hAnsi="Times New Roman" w:cs="Times New Roman"/>
          <w:b/>
          <w:sz w:val="24"/>
          <w:szCs w:val="24"/>
        </w:rPr>
      </w:pPr>
    </w:p>
    <w:p w14:paraId="0B1368B4" w14:textId="77777777" w:rsidR="000A10BB" w:rsidRPr="0084376A" w:rsidRDefault="000A10BB" w:rsidP="000A10BB">
      <w:pPr>
        <w:spacing w:after="0" w:line="360" w:lineRule="auto"/>
        <w:jc w:val="both"/>
        <w:rPr>
          <w:rFonts w:ascii="Times New Roman" w:eastAsia="Times New Roman" w:hAnsi="Times New Roman" w:cs="Times New Roman"/>
          <w:i/>
          <w:sz w:val="24"/>
          <w:szCs w:val="24"/>
        </w:rPr>
      </w:pPr>
      <w:r w:rsidRPr="00A82852">
        <w:rPr>
          <w:rFonts w:ascii="Times New Roman" w:eastAsia="Times New Roman" w:hAnsi="Times New Roman" w:cs="Times New Roman"/>
          <w:b/>
          <w:sz w:val="24"/>
          <w:szCs w:val="24"/>
        </w:rPr>
        <w:t xml:space="preserve">Table 2: </w:t>
      </w:r>
      <w:commentRangeStart w:id="11"/>
      <w:r w:rsidRPr="00A82852">
        <w:rPr>
          <w:rFonts w:ascii="Times New Roman" w:eastAsia="Times New Roman" w:hAnsi="Times New Roman" w:cs="Times New Roman"/>
          <w:sz w:val="24"/>
          <w:szCs w:val="24"/>
        </w:rPr>
        <w:t xml:space="preserve">Lipid profile </w:t>
      </w:r>
      <w:commentRangeEnd w:id="11"/>
      <w:r w:rsidR="009951CC">
        <w:rPr>
          <w:rStyle w:val="CommentReference"/>
        </w:rPr>
        <w:commentReference w:id="11"/>
      </w:r>
      <w:r w:rsidRPr="00A82852">
        <w:rPr>
          <w:rFonts w:ascii="Times New Roman" w:eastAsia="Times New Roman" w:hAnsi="Times New Roman" w:cs="Times New Roman"/>
          <w:sz w:val="24"/>
          <w:szCs w:val="24"/>
        </w:rPr>
        <w:t xml:space="preserve">after administration of different dose of </w:t>
      </w:r>
      <w:r w:rsidRPr="0024475D">
        <w:rPr>
          <w:rFonts w:ascii="Times New Roman" w:hAnsi="Times New Roman" w:cs="Times New Roman"/>
          <w:i/>
          <w:iCs/>
          <w:color w:val="000000"/>
          <w:sz w:val="24"/>
          <w:szCs w:val="24"/>
        </w:rPr>
        <w:t>Ocimum sanctum</w:t>
      </w:r>
    </w:p>
    <w:p w14:paraId="02A46D01" w14:textId="77777777" w:rsidR="000A10BB" w:rsidRPr="001C5FEF" w:rsidRDefault="000A10BB" w:rsidP="000A10BB">
      <w:pPr>
        <w:spacing w:after="0" w:line="360" w:lineRule="auto"/>
        <w:jc w:val="both"/>
        <w:rPr>
          <w:rFonts w:ascii="Times New Roman" w:hAnsi="Times New Roman" w:cs="Times New Roman"/>
          <w:sz w:val="20"/>
          <w:szCs w:val="24"/>
        </w:rPr>
      </w:pPr>
      <w:r w:rsidRPr="000177F7">
        <w:rPr>
          <w:rFonts w:ascii="Times New Roman" w:hAnsi="Times New Roman" w:cs="Times New Roman"/>
          <w:b/>
          <w:color w:val="252525"/>
          <w:sz w:val="20"/>
          <w:szCs w:val="24"/>
        </w:rPr>
        <w:t>Note:</w:t>
      </w:r>
      <w:r w:rsidRPr="001C5FEF">
        <w:rPr>
          <w:rFonts w:ascii="Times New Roman" w:hAnsi="Times New Roman" w:cs="Times New Roman"/>
          <w:color w:val="252525"/>
          <w:sz w:val="20"/>
          <w:szCs w:val="24"/>
        </w:rPr>
        <w:t xml:space="preserve"> The results were expressed in Mean±SEM (standard mean error) *p&lt; 0.05, **p&lt; 0.01, and ***p&lt; 0.001 were considered as statistically significant. The statistical analysis followed by one-way analysis of variance (Dunnett’s test) compared to the control.</w:t>
      </w:r>
    </w:p>
    <w:p w14:paraId="78F667E5"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p>
    <w:p w14:paraId="1FFCC6AA"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r w:rsidRPr="0024475D">
        <w:rPr>
          <w:b/>
          <w:bCs/>
          <w:color w:val="000000"/>
        </w:rPr>
        <w:t>Conclusion</w:t>
      </w:r>
    </w:p>
    <w:p w14:paraId="3F5E25B9" w14:textId="77777777" w:rsidR="000A10BB" w:rsidRPr="003462A9" w:rsidRDefault="000A10BB" w:rsidP="000A10BB">
      <w:pPr>
        <w:spacing w:after="0" w:line="360" w:lineRule="auto"/>
        <w:jc w:val="both"/>
        <w:rPr>
          <w:rFonts w:ascii="Times New Roman" w:hAnsi="Times New Roman" w:cs="Times New Roman"/>
          <w:sz w:val="24"/>
          <w:szCs w:val="24"/>
        </w:rPr>
      </w:pPr>
      <w:commentRangeStart w:id="12"/>
      <w:r w:rsidRPr="003462A9">
        <w:rPr>
          <w:rFonts w:ascii="Times New Roman" w:hAnsi="Times New Roman" w:cs="Times New Roman"/>
          <w:sz w:val="24"/>
          <w:szCs w:val="24"/>
        </w:rPr>
        <w:t xml:space="preserve">The results of this study suggest that the ethanol extract of </w:t>
      </w:r>
      <w:r w:rsidRPr="003462A9">
        <w:rPr>
          <w:rStyle w:val="Emphasis"/>
          <w:rFonts w:ascii="Times New Roman" w:hAnsi="Times New Roman" w:cs="Times New Roman"/>
          <w:sz w:val="24"/>
          <w:szCs w:val="24"/>
        </w:rPr>
        <w:t>Ocimum sanctum</w:t>
      </w:r>
      <w:r w:rsidRPr="003462A9">
        <w:rPr>
          <w:rFonts w:ascii="Times New Roman" w:hAnsi="Times New Roman" w:cs="Times New Roman"/>
          <w:sz w:val="24"/>
          <w:szCs w:val="24"/>
        </w:rPr>
        <w:t xml:space="preserve"> may provide protective effects against diabetes, hypercholesterolemia, liver damage, and impaired kidney function. However, despite its anti-diabetic and anti-hyperlipidemic properties, the extract did not produce a significant impact on the intended outcomes. Further investigation is needed to isolate and identify the active compounds responsible for these effects. Once identified, detailed studies can be conducted to better understand their mechanisms of action.</w:t>
      </w:r>
      <w:commentRangeEnd w:id="12"/>
      <w:r w:rsidR="009951CC">
        <w:rPr>
          <w:rStyle w:val="CommentReference"/>
        </w:rPr>
        <w:commentReference w:id="12"/>
      </w:r>
    </w:p>
    <w:p w14:paraId="19DA0C5E" w14:textId="77777777" w:rsidR="000A10BB" w:rsidRDefault="000A10BB" w:rsidP="000A10BB">
      <w:pPr>
        <w:spacing w:after="0" w:line="360" w:lineRule="auto"/>
        <w:jc w:val="both"/>
      </w:pPr>
    </w:p>
    <w:p w14:paraId="5D1923AD" w14:textId="77777777" w:rsidR="000A10BB" w:rsidRPr="003462A9" w:rsidRDefault="000A10BB" w:rsidP="000A10BB">
      <w:pPr>
        <w:spacing w:after="0" w:line="360" w:lineRule="auto"/>
        <w:jc w:val="both"/>
      </w:pPr>
    </w:p>
    <w:p w14:paraId="01105589" w14:textId="77777777" w:rsidR="00686E68" w:rsidRDefault="00686E68" w:rsidP="000A10BB">
      <w:pPr>
        <w:pStyle w:val="NormalWeb"/>
        <w:shd w:val="clear" w:color="auto" w:fill="FFFFFF"/>
        <w:spacing w:before="0" w:beforeAutospacing="0" w:after="0" w:afterAutospacing="0" w:line="360" w:lineRule="auto"/>
        <w:jc w:val="both"/>
        <w:rPr>
          <w:b/>
          <w:bCs/>
          <w:color w:val="000000"/>
        </w:rPr>
      </w:pPr>
    </w:p>
    <w:p w14:paraId="287A8029" w14:textId="2786FFCE" w:rsidR="000A10BB" w:rsidRPr="0024475D" w:rsidRDefault="000A10BB" w:rsidP="000A10BB">
      <w:pPr>
        <w:pStyle w:val="NormalWeb"/>
        <w:shd w:val="clear" w:color="auto" w:fill="FFFFFF"/>
        <w:spacing w:before="0" w:beforeAutospacing="0" w:after="0" w:afterAutospacing="0" w:line="360" w:lineRule="auto"/>
        <w:jc w:val="both"/>
      </w:pPr>
      <w:r>
        <w:rPr>
          <w:b/>
          <w:bCs/>
          <w:color w:val="000000"/>
        </w:rPr>
        <w:t>References</w:t>
      </w:r>
    </w:p>
    <w:p w14:paraId="7E937657"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1.   </w:t>
      </w:r>
      <w:r w:rsidRPr="0024475D">
        <w:rPr>
          <w:color w:val="222222"/>
          <w:shd w:val="clear" w:color="auto" w:fill="FFFFFF"/>
        </w:rPr>
        <w:t>Yikna BB, Yehualashet AS. Medicinal plant extracts evaluated in vitro and in vivo for antidiabetic activities in Ethiopia: Bases for future clinical trials and related investigations. Evidence‐Based Complementary and Alternative Medicine. 2021;2021(1</w:t>
      </w:r>
      <w:proofErr w:type="gramStart"/>
      <w:r w:rsidRPr="0024475D">
        <w:rPr>
          <w:color w:val="222222"/>
          <w:shd w:val="clear" w:color="auto" w:fill="FFFFFF"/>
        </w:rPr>
        <w:t>):9108499.</w:t>
      </w:r>
      <w:r w:rsidRPr="0024475D">
        <w:rPr>
          <w:color w:val="000000"/>
        </w:rPr>
        <w:t>.</w:t>
      </w:r>
      <w:proofErr w:type="gramEnd"/>
    </w:p>
    <w:p w14:paraId="7A2FD27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lastRenderedPageBreak/>
        <w:t>2.  Himi HZ, Rahman MM, Hasan SA, Cruze LR, Ishraat ST, Chowdhury MM. An Evaluation of Hepato-protective Activity of Ethanolic Extract of Solanum nigrum with Varying Doses on CCL4 Induced Hepatic Injured Rat. Asian Journal of Advanced Research and Reports. 2024 Mar 16;18(4):75-80.</w:t>
      </w:r>
    </w:p>
    <w:p w14:paraId="17A986E2"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3.  FM SS, Juliana AB, Bornila M, Puja B, Nur-Neasha D, Rafat T. An assessment of hepato-protective activity of Psidium guajava fruit extract against hepatic injured rodent model. Asian Journal of Medical Principles and Clinical Practice. 2023 Oct 7;6(2):240-5.</w:t>
      </w:r>
    </w:p>
    <w:p w14:paraId="5DA83E61"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4. Baroi JA, Hossian MR, Chowdhury MM, Dolon NN, Maliha F, Rupak MA, Lima NN, Ullah MR, Tahsin R. An assessment of anti-hyperlipidemic potentialities of ethanolic extract of hemidesmus indicus in high fat induced rat model. Asian Journal of Food Research and Nutrition. 2023 Jul 9;2(4):323-30.</w:t>
      </w:r>
    </w:p>
    <w:p w14:paraId="1A6DE482"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 xml:space="preserve">5. Zhang Y, Li X, Yang Q, Zhang C, Song X, Wang W, Jia L, Zhang J. Antioxidation, anti-hyperlipidaemia and hepatoprotection of polysaccharides from Auricularia auricular residue. Chemico-Biological Interactions. 2021 Jan </w:t>
      </w:r>
      <w:proofErr w:type="gramStart"/>
      <w:r w:rsidRPr="0024475D">
        <w:rPr>
          <w:color w:val="000000"/>
        </w:rPr>
        <w:t>5;333:109323</w:t>
      </w:r>
      <w:proofErr w:type="gramEnd"/>
      <w:r w:rsidRPr="0024475D">
        <w:rPr>
          <w:color w:val="000000"/>
        </w:rPr>
        <w:t>.</w:t>
      </w:r>
    </w:p>
    <w:p w14:paraId="04E41DD5"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 xml:space="preserve">6. Srinivasa Rao K, Prasad T, Mohanta </w:t>
      </w:r>
      <w:proofErr w:type="gramStart"/>
      <w:r w:rsidRPr="0024475D">
        <w:rPr>
          <w:color w:val="000000"/>
        </w:rPr>
        <w:t>GP,Manna</w:t>
      </w:r>
      <w:proofErr w:type="gramEnd"/>
      <w:r w:rsidRPr="0024475D">
        <w:rPr>
          <w:color w:val="000000"/>
        </w:rPr>
        <w:t xml:space="preserve"> PK. An Overview of Statins asHypolipidemic Drugs. International Journalof Pharmaceutical Sciences and DrugResearch. 2011; 3(3):178-183.</w:t>
      </w:r>
    </w:p>
    <w:p w14:paraId="3E59163F"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7. Schachter M. Chemical, pharmacokineticand pharmacodynamic properties ofstatins: an update. Fundam ClinPharmacol. </w:t>
      </w:r>
      <w:proofErr w:type="gramStart"/>
      <w:r w:rsidRPr="0024475D">
        <w:rPr>
          <w:color w:val="000000"/>
        </w:rPr>
        <w:t>2005;19:117</w:t>
      </w:r>
      <w:proofErr w:type="gramEnd"/>
      <w:r w:rsidRPr="0024475D">
        <w:rPr>
          <w:color w:val="000000"/>
        </w:rPr>
        <w:t>-125.</w:t>
      </w:r>
    </w:p>
    <w:p w14:paraId="7AB74C9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8. Thompson PD, Panza G, Zaleski A, TaylorB. Statin-associated side effects. Journalof the American College of Cardiology.2016;67(20):2395-410.</w:t>
      </w:r>
    </w:p>
    <w:p w14:paraId="65035284"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9</w:t>
      </w:r>
      <w:r w:rsidRPr="0024475D">
        <w:rPr>
          <w:i/>
          <w:iCs/>
          <w:color w:val="000000"/>
        </w:rPr>
        <w:t xml:space="preserve">. </w:t>
      </w:r>
      <w:r w:rsidRPr="0024475D">
        <w:rPr>
          <w:color w:val="000000"/>
        </w:rPr>
        <w:t xml:space="preserve">Rupak MA, Chowdhury MM, Shurovi </w:t>
      </w:r>
      <w:proofErr w:type="gramStart"/>
      <w:r w:rsidRPr="0024475D">
        <w:rPr>
          <w:color w:val="000000"/>
        </w:rPr>
        <w:t>FS,Ferdous</w:t>
      </w:r>
      <w:proofErr w:type="gramEnd"/>
      <w:r w:rsidRPr="0024475D">
        <w:rPr>
          <w:color w:val="000000"/>
        </w:rPr>
        <w:t xml:space="preserve"> J, Tahsin MR, Sarif S, Hasan MM,Chowdhury JA, Kabir S, Chowdhury AA,Aktar F. An Evaluation of Analgesic andAnti-Inflammatory Activity of EthanolicExtract of Cynodon Dactylon on StressedRodent Model. Biomedical Journal ofScientific &amp; Technical Research. 2022;42(3):33550-7.</w:t>
      </w:r>
    </w:p>
    <w:p w14:paraId="4B817B6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10. Islam M, Rupak AH, Nasrin N, Chowdhury MM, Sen P, Foysal AU, Uddin MJ, Ferdous J, Tahsin MR, Aktar F, Kabir S. An evaluation of potential hepato–</w:t>
      </w:r>
      <w:r w:rsidRPr="0024475D">
        <w:rPr>
          <w:color w:val="000000"/>
        </w:rPr>
        <w:lastRenderedPageBreak/>
        <w:t>protective properties of hylocereus undatus fruit in experimental rat model. Biomedical Journal of Scientific &amp; Technical Research. 2022;43(2):34405-16.</w:t>
      </w:r>
    </w:p>
    <w:p w14:paraId="416701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11. Chowdhury MM, Sikder MI, Islam MR, Barua N, Yeasmin S, Eva TA, et al. A review of ethnomedicinal uses, phytochemistry, nutritional values, and pharmacological activities of Hylocereus polyrhizus. J Herbmed Pharmacol. 2024;13(3):353-365. doi: 10.34172/jhp.2024.49411.</w:t>
      </w:r>
    </w:p>
    <w:p w14:paraId="27B217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p>
    <w:p w14:paraId="763D18B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12. Lima NN, Dolon NN, Maliha F, Ullah MR, Humayra F, Chowdhury MM, Rupak MA, Baroi JA, Shohan FS, Tashin R. An Evaluation of Analgesic and Anti-Inflammatory Activity of Ficus racemosa in Rat Model.</w:t>
      </w:r>
    </w:p>
    <w:p w14:paraId="20EAF92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13. </w:t>
      </w:r>
      <w:r w:rsidRPr="0024475D">
        <w:rPr>
          <w:color w:val="222222"/>
          <w:shd w:val="clear" w:color="auto" w:fill="FFFFFF"/>
        </w:rPr>
        <w:t>Chowdhury M, Chakma B, Islam A, Sikder I, Sultan RA. Phytochemical investigation and in vitro and in vivo pharmacological activities of methanol extract of whole plant Argyreia capitiformis (Poir.) Ooststr. Clinical Phytoscience. 2024 Dec;10(1):1-8.</w:t>
      </w:r>
    </w:p>
    <w:p w14:paraId="7166308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14. Saxena M, Saxena J, Nema R, Singh </w:t>
      </w:r>
      <w:proofErr w:type="gramStart"/>
      <w:r w:rsidRPr="0024475D">
        <w:rPr>
          <w:color w:val="000000"/>
        </w:rPr>
        <w:t>D,Gupta</w:t>
      </w:r>
      <w:proofErr w:type="gramEnd"/>
      <w:r w:rsidRPr="0024475D">
        <w:rPr>
          <w:color w:val="000000"/>
        </w:rPr>
        <w:t xml:space="preserve"> A. Phytochemistry of medicinalplants. Journal of Pharmacognosy andPhytochemistry. 2013; 1(6):168-18210</w:t>
      </w:r>
    </w:p>
    <w:p w14:paraId="78617F1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15. Lima NN, Dolon NN, Maliha F, Ullah MR, Humayra F, Chowdhury MM, Rupak MA, Baroi JA, Shohan FS, Tashin R. An Evaluation of Analgesic and Anti-Inflammatory Activity of Ficus racemosa in Rat Model.</w:t>
      </w:r>
    </w:p>
    <w:p w14:paraId="4F54941B"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000000"/>
        </w:rPr>
        <w:t>16. Pracheta SS, Sharma V, Paliwal R, Sharma S, Yadav S, Singh L, et al. Chemoprotective activity of hydro-ethanolic extract of Euphorbia nerrifolia Linn. Leaves against DENA-induced liver carcinogenesis in mice. Biol Med. 2011; 3(2):36–44.</w:t>
      </w:r>
    </w:p>
    <w:p w14:paraId="7AC29D0E"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t>17.</w:t>
      </w:r>
      <w:r w:rsidRPr="0024475D">
        <w:rPr>
          <w:color w:val="222222"/>
          <w:shd w:val="clear" w:color="auto" w:fill="FFFFFF"/>
        </w:rPr>
        <w:t xml:space="preserve"> Srivastava A, Subhashini, Pandey V, Yadav V, Singh S, Srivastava R. Potential of hydroethanolic leaf extract of Ocimum sanctum in ameliorating redox status and lung injury in COPD: an in vivo and in silico study. Scientific Reports. 2023 Jan 20;13(1):1131.</w:t>
      </w:r>
    </w:p>
    <w:p w14:paraId="17102CB5"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18. Chaudhary A, Sharma S, Mittal A, Gupta S, Dua A. Phytochemical and antioxidant profiling of Ocimum sanctum. Journal of Food Science and technology. 2020 Oct;57(10):3852-63.</w:t>
      </w:r>
    </w:p>
    <w:p w14:paraId="628FD0BA" w14:textId="77777777" w:rsidR="000A10BB" w:rsidRPr="00F56C29"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222222"/>
          <w:shd w:val="clear" w:color="auto" w:fill="FFFFFF"/>
        </w:rPr>
        <w:lastRenderedPageBreak/>
        <w:t>19. Mahajan N, Rawal S, Verma M, Poddar M, Alok S. A phytopharmacological overview on Ocimum species with special emphasis on Ocimum sanctum. Biomedicine &amp; Preventive Nutrition. 2013 Apr 1;3(2):185-92.</w:t>
      </w:r>
    </w:p>
    <w:p w14:paraId="424759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52525"/>
        </w:rPr>
        <w:t>20.</w:t>
      </w:r>
      <w:r w:rsidRPr="0024475D">
        <w:rPr>
          <w:color w:val="222222"/>
          <w:shd w:val="clear" w:color="auto" w:fill="FFFFFF"/>
        </w:rPr>
        <w:t xml:space="preserve"> Ahmed AB, Rao AS, Rao MV. In vitro callus and in vivo leaf extract of Gymnema sylvestre stimulate β-cells regeneration and anti-diabetic activity in Wistar rats. Phytomedicine. 2010 Nov 1;17(13):1033-9.</w:t>
      </w:r>
    </w:p>
    <w:p w14:paraId="4642170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22222"/>
          <w:shd w:val="clear" w:color="auto" w:fill="FFFFFF"/>
        </w:rPr>
        <w:t>21. Kumar P, Rani S, Arunjyothi B, Chakrapani P, Rojarani A. Evaluation of antidiabetic activity of Gymnema sylvestre and Andrographis paniculata in streptozotocin induced diabetic rats. Int J Pharmacogn Phytochem Res. 2017;9(1):22-5.</w:t>
      </w:r>
    </w:p>
    <w:p w14:paraId="7079A3C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22. Kang MH, Lee MS, Choi MK, Min KS, Shibamoto T. Hypoglycemic activity of Gymnema sylvestre extracts on oxidative stress and antioxidant status in diabetic rats. Journal of agricultural and food chemistry. 2012 Mar 14;60(10):2517-24.</w:t>
      </w:r>
    </w:p>
    <w:p w14:paraId="058E0E4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23. Mishra B, Pancholi SS. Investigation of a new antidiabetic combination based on Gymnema sylvestre and Momordica charantia along with Pioglitazone in major diabetic complications. Molecular &amp; Clinical Pharmacology. 2013;4(1):11-25.</w:t>
      </w:r>
    </w:p>
    <w:p w14:paraId="35C55CD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24. Kishore L, Singh R. Preventive effect of gymnema sylvestre homeopathic preparation on streptozotocin-nicotinamide induced diabetic nephropathy in rats. Oriental Pharmacy and Experimental Medicine. 2017 Sep;17(3):223-32.</w:t>
      </w:r>
    </w:p>
    <w:p w14:paraId="5C0E5AB5" w14:textId="77777777" w:rsidR="00772730" w:rsidRDefault="00772730"/>
    <w:sectPr w:rsidR="00772730" w:rsidSect="000A10B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erlin Ajeng Nurrahma" w:date="2025-01-02T15:53:00Z" w:initials="HN">
    <w:p w14:paraId="1F51A08C" w14:textId="77777777" w:rsidR="009951CC" w:rsidRDefault="009951CC" w:rsidP="009951CC">
      <w:r>
        <w:rPr>
          <w:rStyle w:val="CommentReference"/>
        </w:rPr>
        <w:annotationRef/>
      </w:r>
      <w:r>
        <w:rPr>
          <w:color w:val="000000"/>
          <w:sz w:val="20"/>
          <w:szCs w:val="20"/>
        </w:rPr>
        <w:t>So, it was two different of model disease? One is diabetic and th other one is hyperlipidemia?</w:t>
      </w:r>
    </w:p>
  </w:comment>
  <w:comment w:id="1" w:author="Herlin Ajeng Nurrahma" w:date="2025-01-02T15:53:00Z" w:initials="HN">
    <w:p w14:paraId="65E0F4FA" w14:textId="77777777" w:rsidR="009951CC" w:rsidRDefault="009951CC" w:rsidP="009951CC">
      <w:r>
        <w:rPr>
          <w:rStyle w:val="CommentReference"/>
        </w:rPr>
        <w:annotationRef/>
      </w:r>
      <w:r>
        <w:rPr>
          <w:color w:val="000000"/>
          <w:sz w:val="20"/>
          <w:szCs w:val="20"/>
        </w:rPr>
        <w:t>Please explain more about the link of diabetes with hyperlipidemia</w:t>
      </w:r>
    </w:p>
  </w:comment>
  <w:comment w:id="2" w:author="Herlin Ajeng Nurrahma" w:date="2025-01-02T15:55:00Z" w:initials="HN">
    <w:p w14:paraId="701F61E8" w14:textId="77777777" w:rsidR="009951CC" w:rsidRDefault="009951CC" w:rsidP="009951CC">
      <w:r>
        <w:rPr>
          <w:rStyle w:val="CommentReference"/>
        </w:rPr>
        <w:annotationRef/>
      </w:r>
      <w:r>
        <w:rPr>
          <w:color w:val="000000"/>
          <w:sz w:val="20"/>
          <w:szCs w:val="20"/>
        </w:rPr>
        <w:t>Can you describe more, what chemicals that have important role in this study?</w:t>
      </w:r>
    </w:p>
  </w:comment>
  <w:comment w:id="3" w:author="Herlin Ajeng Nurrahma" w:date="2025-01-02T15:51:00Z" w:initials="HN">
    <w:p w14:paraId="45D33602" w14:textId="1E80B6C3" w:rsidR="009951CC" w:rsidRDefault="009951CC" w:rsidP="009951CC">
      <w:r>
        <w:rPr>
          <w:rStyle w:val="CommentReference"/>
        </w:rPr>
        <w:annotationRef/>
      </w:r>
      <w:r>
        <w:rPr>
          <w:color w:val="000000"/>
          <w:sz w:val="20"/>
          <w:szCs w:val="20"/>
        </w:rPr>
        <w:t>Better to explain/describe more about the dose of ocimum sanctum, why you choose that doses?</w:t>
      </w:r>
    </w:p>
  </w:comment>
  <w:comment w:id="4" w:author="Herlin Ajeng Nurrahma" w:date="2025-01-02T15:50:00Z" w:initials="HN">
    <w:p w14:paraId="08CF05E3" w14:textId="34322599" w:rsidR="009951CC" w:rsidRDefault="009951CC" w:rsidP="009951CC">
      <w:r>
        <w:rPr>
          <w:rStyle w:val="CommentReference"/>
        </w:rPr>
        <w:annotationRef/>
      </w:r>
      <w:r>
        <w:rPr>
          <w:color w:val="000000"/>
          <w:sz w:val="20"/>
          <w:szCs w:val="20"/>
        </w:rPr>
        <w:t>Haven’t explain about animal model of diabetes mellitus. Is it with alloxan? Or with the other else? Or just use the specific model of diabetic rats</w:t>
      </w:r>
    </w:p>
  </w:comment>
  <w:comment w:id="5" w:author="Herlin Ajeng Nurrahma" w:date="2025-01-02T15:56:00Z" w:initials="HN">
    <w:p w14:paraId="6E44B274" w14:textId="77777777" w:rsidR="009951CC" w:rsidRDefault="009951CC" w:rsidP="009951CC">
      <w:r>
        <w:rPr>
          <w:rStyle w:val="CommentReference"/>
        </w:rPr>
        <w:annotationRef/>
      </w:r>
      <w:r>
        <w:rPr>
          <w:color w:val="000000"/>
          <w:sz w:val="20"/>
          <w:szCs w:val="20"/>
        </w:rPr>
        <w:t>How long did the experiment have done? Please explain the timetable.</w:t>
      </w:r>
    </w:p>
  </w:comment>
  <w:comment w:id="8" w:author="Herlin Ajeng Nurrahma" w:date="2025-01-02T15:44:00Z" w:initials="HN">
    <w:p w14:paraId="1C2B122B" w14:textId="79332B82" w:rsidR="009951CC" w:rsidRDefault="009951CC" w:rsidP="009951CC">
      <w:r>
        <w:rPr>
          <w:rStyle w:val="CommentReference"/>
        </w:rPr>
        <w:annotationRef/>
      </w:r>
      <w:r>
        <w:rPr>
          <w:color w:val="000000"/>
          <w:sz w:val="20"/>
          <w:szCs w:val="20"/>
        </w:rPr>
        <w:t>With alloxan?</w:t>
      </w:r>
    </w:p>
  </w:comment>
  <w:comment w:id="9" w:author="Herlin Ajeng Nurrahma" w:date="2025-01-02T15:57:00Z" w:initials="HN">
    <w:p w14:paraId="1E9FE4EF" w14:textId="77777777" w:rsidR="009951CC" w:rsidRDefault="009951CC" w:rsidP="009951CC">
      <w:r>
        <w:rPr>
          <w:rStyle w:val="CommentReference"/>
        </w:rPr>
        <w:annotationRef/>
      </w:r>
      <w:r>
        <w:rPr>
          <w:color w:val="000000"/>
          <w:sz w:val="20"/>
          <w:szCs w:val="20"/>
        </w:rPr>
        <w:t>Supposed to not be here</w:t>
      </w:r>
    </w:p>
  </w:comment>
  <w:comment w:id="10" w:author="Herlin Ajeng Nurrahma" w:date="2025-01-02T15:48:00Z" w:initials="HN">
    <w:p w14:paraId="4F6F51E2" w14:textId="34F04AD2" w:rsidR="009951CC" w:rsidRDefault="009951CC" w:rsidP="009951CC">
      <w:r>
        <w:rPr>
          <w:rStyle w:val="CommentReference"/>
        </w:rPr>
        <w:annotationRef/>
      </w:r>
      <w:r>
        <w:rPr>
          <w:color w:val="000000"/>
          <w:sz w:val="20"/>
          <w:szCs w:val="20"/>
        </w:rPr>
        <w:t>Please explain why analyze this biochemical analysis in the background</w:t>
      </w:r>
    </w:p>
  </w:comment>
  <w:comment w:id="11" w:author="Herlin Ajeng Nurrahma" w:date="2025-01-02T15:58:00Z" w:initials="HN">
    <w:p w14:paraId="33E3B2F8" w14:textId="77777777" w:rsidR="009951CC" w:rsidRDefault="009951CC" w:rsidP="009951CC">
      <w:r>
        <w:rPr>
          <w:rStyle w:val="CommentReference"/>
        </w:rPr>
        <w:annotationRef/>
      </w:r>
      <w:r>
        <w:rPr>
          <w:color w:val="000000"/>
          <w:sz w:val="20"/>
          <w:szCs w:val="20"/>
        </w:rPr>
        <w:t>It was not only lipid profile, but liver and kidney function also</w:t>
      </w:r>
    </w:p>
  </w:comment>
  <w:comment w:id="12" w:author="Herlin Ajeng Nurrahma" w:date="2025-01-02T15:59:00Z" w:initials="HN">
    <w:p w14:paraId="48B0FD1C" w14:textId="77777777" w:rsidR="009951CC" w:rsidRDefault="009951CC" w:rsidP="009951CC">
      <w:r>
        <w:rPr>
          <w:rStyle w:val="CommentReference"/>
        </w:rPr>
        <w:annotationRef/>
      </w:r>
      <w:r>
        <w:rPr>
          <w:color w:val="000000"/>
          <w:sz w:val="20"/>
          <w:szCs w:val="20"/>
        </w:rPr>
        <w:t>Please describe more about the result, there were no link about diabetes, lipid profil, liver and kidney function in the explanation.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51A08C" w15:done="0"/>
  <w15:commentEx w15:paraId="65E0F4FA" w15:done="0"/>
  <w15:commentEx w15:paraId="701F61E8" w15:done="0"/>
  <w15:commentEx w15:paraId="45D33602" w15:done="0"/>
  <w15:commentEx w15:paraId="08CF05E3" w15:done="0"/>
  <w15:commentEx w15:paraId="6E44B274" w15:done="0"/>
  <w15:commentEx w15:paraId="1C2B122B" w15:done="0"/>
  <w15:commentEx w15:paraId="1E9FE4EF" w15:done="0"/>
  <w15:commentEx w15:paraId="4F6F51E2" w15:done="0"/>
  <w15:commentEx w15:paraId="33E3B2F8" w15:done="0"/>
  <w15:commentEx w15:paraId="48B0FD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4308DBE" w16cex:dateUtc="2025-01-02T07:53:00Z"/>
  <w16cex:commentExtensible w16cex:durableId="1DF3968D" w16cex:dateUtc="2025-01-02T07:53:00Z"/>
  <w16cex:commentExtensible w16cex:durableId="5EF68CBF" w16cex:dateUtc="2025-01-02T07:55:00Z"/>
  <w16cex:commentExtensible w16cex:durableId="5005D86F" w16cex:dateUtc="2025-01-02T07:51:00Z"/>
  <w16cex:commentExtensible w16cex:durableId="02DD1490" w16cex:dateUtc="2025-01-02T07:50:00Z"/>
  <w16cex:commentExtensible w16cex:durableId="0846FF33" w16cex:dateUtc="2025-01-02T07:56:00Z"/>
  <w16cex:commentExtensible w16cex:durableId="4A14B17C" w16cex:dateUtc="2025-01-02T07:44:00Z"/>
  <w16cex:commentExtensible w16cex:durableId="0C39F555" w16cex:dateUtc="2025-01-02T07:57:00Z"/>
  <w16cex:commentExtensible w16cex:durableId="7E786C04" w16cex:dateUtc="2025-01-02T07:48:00Z"/>
  <w16cex:commentExtensible w16cex:durableId="7C151ADA" w16cex:dateUtc="2025-01-02T07:58:00Z"/>
  <w16cex:commentExtensible w16cex:durableId="7E05F12E" w16cex:dateUtc="2025-01-02T0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51A08C" w16cid:durableId="34308DBE"/>
  <w16cid:commentId w16cid:paraId="65E0F4FA" w16cid:durableId="1DF3968D"/>
  <w16cid:commentId w16cid:paraId="701F61E8" w16cid:durableId="5EF68CBF"/>
  <w16cid:commentId w16cid:paraId="45D33602" w16cid:durableId="5005D86F"/>
  <w16cid:commentId w16cid:paraId="08CF05E3" w16cid:durableId="02DD1490"/>
  <w16cid:commentId w16cid:paraId="6E44B274" w16cid:durableId="0846FF33"/>
  <w16cid:commentId w16cid:paraId="1C2B122B" w16cid:durableId="4A14B17C"/>
  <w16cid:commentId w16cid:paraId="1E9FE4EF" w16cid:durableId="0C39F555"/>
  <w16cid:commentId w16cid:paraId="4F6F51E2" w16cid:durableId="7E786C04"/>
  <w16cid:commentId w16cid:paraId="33E3B2F8" w16cid:durableId="7C151ADA"/>
  <w16cid:commentId w16cid:paraId="48B0FD1C" w16cid:durableId="7E05F1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22D64" w14:textId="77777777" w:rsidR="0058775C" w:rsidRDefault="0058775C" w:rsidP="00686E68">
      <w:pPr>
        <w:spacing w:after="0" w:line="240" w:lineRule="auto"/>
      </w:pPr>
      <w:r>
        <w:separator/>
      </w:r>
    </w:p>
  </w:endnote>
  <w:endnote w:type="continuationSeparator" w:id="0">
    <w:p w14:paraId="42F2DEF9" w14:textId="77777777" w:rsidR="0058775C" w:rsidRDefault="0058775C" w:rsidP="0068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DDE47" w14:textId="77777777" w:rsidR="00686E68" w:rsidRDefault="00686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B2CC1" w14:textId="77777777" w:rsidR="00686E68" w:rsidRDefault="00686E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71551" w14:textId="77777777" w:rsidR="00686E68" w:rsidRDefault="00686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97E11" w14:textId="77777777" w:rsidR="0058775C" w:rsidRDefault="0058775C" w:rsidP="00686E68">
      <w:pPr>
        <w:spacing w:after="0" w:line="240" w:lineRule="auto"/>
      </w:pPr>
      <w:r>
        <w:separator/>
      </w:r>
    </w:p>
  </w:footnote>
  <w:footnote w:type="continuationSeparator" w:id="0">
    <w:p w14:paraId="280CA76A" w14:textId="77777777" w:rsidR="0058775C" w:rsidRDefault="0058775C" w:rsidP="00686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27067" w14:textId="540AA728" w:rsidR="00686E68" w:rsidRDefault="0058775C">
    <w:pPr>
      <w:pStyle w:val="Header"/>
    </w:pPr>
    <w:r>
      <w:rPr>
        <w:noProof/>
      </w:rPr>
      <w:pict w14:anchorId="5EDCB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1" o:spid="_x0000_s1027" type="#_x0000_t136" alt="" style="position:absolute;margin-left:0;margin-top:0;width:555.6pt;height:104.1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C31E5" w14:textId="0658A1CB" w:rsidR="00686E68" w:rsidRDefault="0058775C">
    <w:pPr>
      <w:pStyle w:val="Header"/>
    </w:pPr>
    <w:r>
      <w:rPr>
        <w:noProof/>
      </w:rPr>
      <w:pict w14:anchorId="00137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2" o:spid="_x0000_s1026" type="#_x0000_t136" alt="" style="position:absolute;margin-left:0;margin-top:0;width:555.6pt;height:104.1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AFF1" w14:textId="7B3E15BF" w:rsidR="00686E68" w:rsidRDefault="0058775C">
    <w:pPr>
      <w:pStyle w:val="Header"/>
    </w:pPr>
    <w:r>
      <w:rPr>
        <w:noProof/>
      </w:rPr>
      <w:pict w14:anchorId="76B0E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0" o:spid="_x0000_s1025" type="#_x0000_t136" alt="" style="position:absolute;margin-left:0;margin-top:0;width:555.6pt;height:104.1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rlin Ajeng Nurrahma">
    <w15:presenceInfo w15:providerId="Windows Live" w15:userId="6a0472dedbcc8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E3A"/>
    <w:rsid w:val="000614AF"/>
    <w:rsid w:val="000A10BB"/>
    <w:rsid w:val="00417425"/>
    <w:rsid w:val="00476A4E"/>
    <w:rsid w:val="0058775C"/>
    <w:rsid w:val="00686E68"/>
    <w:rsid w:val="006D5735"/>
    <w:rsid w:val="00772730"/>
    <w:rsid w:val="00924C09"/>
    <w:rsid w:val="009951CC"/>
    <w:rsid w:val="009F4BA3"/>
    <w:rsid w:val="00AD503C"/>
    <w:rsid w:val="00B65B98"/>
    <w:rsid w:val="00BA6E3A"/>
    <w:rsid w:val="00CC3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8305D"/>
  <w15:chartTrackingRefBased/>
  <w15:docId w15:val="{77A51543-AD64-4F44-8BF3-4FAD2C71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BB"/>
    <w:rPr>
      <w:kern w:val="0"/>
      <w:lang w:val="en-US"/>
    </w:rPr>
  </w:style>
  <w:style w:type="paragraph" w:styleId="Heading3">
    <w:name w:val="heading 3"/>
    <w:basedOn w:val="Normal"/>
    <w:link w:val="Heading3Char"/>
    <w:uiPriority w:val="9"/>
    <w:qFormat/>
    <w:rsid w:val="000A10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10BB"/>
    <w:rPr>
      <w:rFonts w:ascii="Times New Roman" w:eastAsia="Times New Roman" w:hAnsi="Times New Roman" w:cs="Times New Roman"/>
      <w:b/>
      <w:bCs/>
      <w:kern w:val="0"/>
      <w:sz w:val="27"/>
      <w:szCs w:val="27"/>
      <w:lang w:val="en-US"/>
    </w:rPr>
  </w:style>
  <w:style w:type="paragraph" w:styleId="NormalWeb">
    <w:name w:val="Normal (Web)"/>
    <w:basedOn w:val="Normal"/>
    <w:uiPriority w:val="99"/>
    <w:unhideWhenUsed/>
    <w:rsid w:val="000A10B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A10B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10BB"/>
    <w:rPr>
      <w:i/>
      <w:iCs/>
    </w:rPr>
  </w:style>
  <w:style w:type="paragraph" w:styleId="Header">
    <w:name w:val="header"/>
    <w:basedOn w:val="Normal"/>
    <w:link w:val="HeaderChar"/>
    <w:uiPriority w:val="99"/>
    <w:unhideWhenUsed/>
    <w:rsid w:val="0068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E68"/>
    <w:rPr>
      <w:kern w:val="0"/>
      <w:lang w:val="en-US"/>
    </w:rPr>
  </w:style>
  <w:style w:type="paragraph" w:styleId="Footer">
    <w:name w:val="footer"/>
    <w:basedOn w:val="Normal"/>
    <w:link w:val="FooterChar"/>
    <w:uiPriority w:val="99"/>
    <w:unhideWhenUsed/>
    <w:rsid w:val="0068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E68"/>
    <w:rPr>
      <w:kern w:val="0"/>
      <w:lang w:val="en-US"/>
    </w:rPr>
  </w:style>
  <w:style w:type="character" w:styleId="CommentReference">
    <w:name w:val="annotation reference"/>
    <w:basedOn w:val="DefaultParagraphFont"/>
    <w:uiPriority w:val="99"/>
    <w:semiHidden/>
    <w:unhideWhenUsed/>
    <w:rsid w:val="009951CC"/>
    <w:rPr>
      <w:sz w:val="16"/>
      <w:szCs w:val="16"/>
    </w:rPr>
  </w:style>
  <w:style w:type="paragraph" w:styleId="CommentText">
    <w:name w:val="annotation text"/>
    <w:basedOn w:val="Normal"/>
    <w:link w:val="CommentTextChar"/>
    <w:uiPriority w:val="99"/>
    <w:semiHidden/>
    <w:unhideWhenUsed/>
    <w:rsid w:val="009951CC"/>
    <w:pPr>
      <w:spacing w:line="240" w:lineRule="auto"/>
    </w:pPr>
    <w:rPr>
      <w:sz w:val="20"/>
      <w:szCs w:val="20"/>
    </w:rPr>
  </w:style>
  <w:style w:type="character" w:customStyle="1" w:styleId="CommentTextChar">
    <w:name w:val="Comment Text Char"/>
    <w:basedOn w:val="DefaultParagraphFont"/>
    <w:link w:val="CommentText"/>
    <w:uiPriority w:val="99"/>
    <w:semiHidden/>
    <w:rsid w:val="009951CC"/>
    <w:rPr>
      <w:kern w:val="0"/>
      <w:sz w:val="20"/>
      <w:szCs w:val="20"/>
      <w:lang w:val="en-US"/>
    </w:rPr>
  </w:style>
  <w:style w:type="paragraph" w:styleId="CommentSubject">
    <w:name w:val="annotation subject"/>
    <w:basedOn w:val="CommentText"/>
    <w:next w:val="CommentText"/>
    <w:link w:val="CommentSubjectChar"/>
    <w:uiPriority w:val="99"/>
    <w:semiHidden/>
    <w:unhideWhenUsed/>
    <w:rsid w:val="009951CC"/>
    <w:rPr>
      <w:b/>
      <w:bCs/>
    </w:rPr>
  </w:style>
  <w:style w:type="character" w:customStyle="1" w:styleId="CommentSubjectChar">
    <w:name w:val="Comment Subject Char"/>
    <w:basedOn w:val="CommentTextChar"/>
    <w:link w:val="CommentSubject"/>
    <w:uiPriority w:val="99"/>
    <w:semiHidden/>
    <w:rsid w:val="009951CC"/>
    <w:rPr>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12</Pages>
  <Words>3677</Words>
  <Characters>18902</Characters>
  <Application>Microsoft Office Word</Application>
  <DocSecurity>0</DocSecurity>
  <Lines>393</Lines>
  <Paragraphs>207</Paragraphs>
  <ScaleCrop>false</ScaleCrop>
  <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09</dc:creator>
  <cp:keywords/>
  <dc:description/>
  <cp:lastModifiedBy>Herlin Ajeng Nurrahma</cp:lastModifiedBy>
  <cp:revision>7</cp:revision>
  <dcterms:created xsi:type="dcterms:W3CDTF">2024-12-28T05:01:00Z</dcterms:created>
  <dcterms:modified xsi:type="dcterms:W3CDTF">2025-01-02T08:15:00Z</dcterms:modified>
</cp:coreProperties>
</file>