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3E0" w:rsidRDefault="009C58BB">
      <w:pPr>
        <w:spacing w:line="360" w:lineRule="auto"/>
        <w:jc w:val="center"/>
        <w:rPr>
          <w:rFonts w:ascii="Calibri Light" w:hAnsi="Calibri Light" w:cs="Calibri Light"/>
          <w:b/>
          <w:sz w:val="24"/>
          <w:szCs w:val="24"/>
        </w:rPr>
      </w:pPr>
      <w:commentRangeStart w:id="0"/>
      <w:r>
        <w:rPr>
          <w:rFonts w:ascii="Calibri Light" w:hAnsi="Calibri Light" w:cs="Calibri Light"/>
          <w:b/>
          <w:sz w:val="24"/>
          <w:szCs w:val="24"/>
        </w:rPr>
        <w:t xml:space="preserve">Factors Influencing Men’s Participation in Seaweed Farming in Zanzibar, Tanzania: Empirical Analysis from a </w:t>
      </w:r>
      <w:proofErr w:type="spellStart"/>
      <w:r>
        <w:rPr>
          <w:rFonts w:ascii="Calibri Light" w:hAnsi="Calibri Light" w:cs="Calibri Light"/>
          <w:b/>
          <w:sz w:val="24"/>
          <w:szCs w:val="24"/>
        </w:rPr>
        <w:t>Logit</w:t>
      </w:r>
      <w:proofErr w:type="spellEnd"/>
      <w:r>
        <w:rPr>
          <w:rFonts w:ascii="Calibri Light" w:hAnsi="Calibri Light" w:cs="Calibri Light"/>
          <w:b/>
          <w:sz w:val="24"/>
          <w:szCs w:val="24"/>
        </w:rPr>
        <w:t xml:space="preserve"> Model</w:t>
      </w:r>
      <w:commentRangeEnd w:id="0"/>
      <w:r w:rsidR="00362FA4">
        <w:rPr>
          <w:rStyle w:val="CommentReference"/>
        </w:rPr>
        <w:commentReference w:id="0"/>
      </w:r>
    </w:p>
    <w:p w:rsidR="001823E0" w:rsidRDefault="001823E0">
      <w:pPr>
        <w:spacing w:line="360" w:lineRule="auto"/>
        <w:jc w:val="both"/>
        <w:rPr>
          <w:rFonts w:ascii="Calibri Light" w:hAnsi="Calibri Light" w:cs="Calibri Light"/>
          <w:b/>
          <w:sz w:val="24"/>
          <w:szCs w:val="24"/>
        </w:rPr>
      </w:pPr>
    </w:p>
    <w:p w:rsidR="001823E0" w:rsidRDefault="009C58BB">
      <w:pPr>
        <w:spacing w:line="360" w:lineRule="auto"/>
        <w:jc w:val="both"/>
        <w:rPr>
          <w:rFonts w:ascii="Calibri Light" w:hAnsi="Calibri Light" w:cs="Calibri Light"/>
          <w:b/>
          <w:sz w:val="24"/>
          <w:szCs w:val="24"/>
        </w:rPr>
      </w:pPr>
      <w:r>
        <w:rPr>
          <w:rFonts w:ascii="Calibri Light" w:hAnsi="Calibri Light" w:cs="Calibri Light"/>
          <w:b/>
          <w:sz w:val="24"/>
          <w:szCs w:val="24"/>
        </w:rPr>
        <w:t>Abstract</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Seaweed farming is a crucial economic activity in Zanzibar, Tanzania, as it provides employment and income opportunities. However, male involvement in the sector remain</w:t>
      </w:r>
      <w:bookmarkStart w:id="1" w:name="_GoBack"/>
      <w:bookmarkEnd w:id="1"/>
      <w:r>
        <w:rPr>
          <w:rFonts w:ascii="Calibri Light" w:eastAsia="Times New Roman" w:hAnsi="Calibri Light" w:cs="Calibri Light"/>
          <w:sz w:val="24"/>
          <w:szCs w:val="24"/>
        </w:rPr>
        <w:t>s low despite governmental initiatives to promote inclusivity. This study used a cross-sectional research design to examine the factors influencing male participation in seaweed farming in Zanzibar. Data were gathered using structured questionnaires from 150 men in the Jambiani, Bwejuu, and Paje wards. The study found that only 22% of men participated in seaweed farming, with 78% abstaining largely due to entrenched gender norms. Logistic regression analysis identified significant predictors of male participation, including educational attainment, price and marketing dynamics, input costs, cultural constraints, climate change and health-related challenges, and harvest season unpredictability. The study concludes that socio-cultural and economic barriers limit men's participation. It recommends interventions, such as gender-sensitive awareness campaigns, market improvements, financial support for input costs, and climate adaptation strategies to promote sustainable farming practices.</w:t>
      </w:r>
    </w:p>
    <w:p w:rsidR="001823E0" w:rsidRDefault="009C58BB">
      <w:pPr>
        <w:spacing w:before="100" w:beforeAutospacing="1" w:after="100" w:afterAutospacing="1" w:line="360" w:lineRule="auto"/>
        <w:jc w:val="both"/>
        <w:rPr>
          <w:rFonts w:ascii="Calibri Light" w:eastAsia="Times New Roman" w:hAnsi="Calibri Light" w:cs="Calibri Light"/>
          <w:i/>
          <w:sz w:val="24"/>
          <w:szCs w:val="24"/>
        </w:rPr>
      </w:pPr>
      <w:r>
        <w:rPr>
          <w:rFonts w:ascii="Calibri Light" w:eastAsia="Times New Roman" w:hAnsi="Calibri Light" w:cs="Calibri Light"/>
          <w:b/>
          <w:sz w:val="24"/>
          <w:szCs w:val="24"/>
        </w:rPr>
        <w:t xml:space="preserve">Keywords: </w:t>
      </w:r>
      <w:r>
        <w:rPr>
          <w:rFonts w:ascii="Calibri Light" w:eastAsia="Times New Roman" w:hAnsi="Calibri Light" w:cs="Calibri Light"/>
          <w:i/>
          <w:sz w:val="24"/>
          <w:szCs w:val="24"/>
        </w:rPr>
        <w:t>seaweed farming, women empowerment, gender disparity, men’s participation, logit model, Tanzania</w:t>
      </w:r>
    </w:p>
    <w:p w:rsidR="001823E0" w:rsidRDefault="009C58BB">
      <w:pPr>
        <w:rPr>
          <w:rFonts w:ascii="Calibri Light" w:eastAsia="Times New Roman" w:hAnsi="Calibri Light" w:cs="Calibri Light"/>
          <w:i/>
          <w:sz w:val="24"/>
          <w:szCs w:val="24"/>
        </w:rPr>
      </w:pPr>
      <w:r>
        <w:rPr>
          <w:rFonts w:ascii="Calibri Light" w:eastAsia="Times New Roman" w:hAnsi="Calibri Light" w:cs="Calibri Light"/>
          <w:i/>
          <w:sz w:val="24"/>
          <w:szCs w:val="24"/>
        </w:rPr>
        <w:br w:type="page"/>
      </w:r>
    </w:p>
    <w:p w:rsidR="001823E0" w:rsidRDefault="009C58BB">
      <w:pPr>
        <w:spacing w:before="100" w:beforeAutospacing="1" w:after="100" w:afterAutospacing="1" w:line="360" w:lineRule="auto"/>
        <w:jc w:val="both"/>
        <w:rPr>
          <w:rFonts w:ascii="Calibri Light" w:eastAsia="Times New Roman" w:hAnsi="Calibri Light" w:cs="Calibri Light"/>
          <w:i/>
          <w:sz w:val="24"/>
          <w:szCs w:val="24"/>
        </w:rPr>
      </w:pPr>
      <w:r>
        <w:rPr>
          <w:rFonts w:ascii="Calibri Light" w:hAnsi="Calibri Light" w:cs="Calibri Light"/>
          <w:b/>
          <w:sz w:val="24"/>
          <w:szCs w:val="24"/>
        </w:rPr>
        <w:lastRenderedPageBreak/>
        <w:t>Introduction</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t>Seaweed farming is a significant agricultural enterprise supporting coastal communities globally. The seaweed is utilized in diverse products, ranging from food and cosmetics to fertilizers, highlighting its broad economic and practical value. Seaweed farming is a sustainable and low-impact aquaculture that has gained significant global traction over the past few decades. Its minimal environmental impact and ability to generate substantial income for coastal communities make it an attractive economic endeavor, especially for countries with extensive coastlines. Leading producers such as Indonesia, the Philippines, and China have capitalized on the sector, creating employment for millions and contributing significantly to their local economies (</w:t>
      </w:r>
      <w:commentRangeStart w:id="2"/>
      <w:proofErr w:type="spellStart"/>
      <w:r>
        <w:rPr>
          <w:rFonts w:ascii="Calibri Light" w:hAnsi="Calibri Light" w:cs="Calibri Light"/>
          <w:kern w:val="2"/>
          <w:sz w:val="24"/>
          <w:szCs w:val="24"/>
          <w14:ligatures w14:val="standardContextual"/>
        </w:rPr>
        <w:t>Herawati</w:t>
      </w:r>
      <w:commentRangeEnd w:id="2"/>
      <w:proofErr w:type="spellEnd"/>
      <w:r w:rsidR="008000AA">
        <w:rPr>
          <w:rStyle w:val="CommentReference"/>
        </w:rPr>
        <w:commentReference w:id="2"/>
      </w:r>
      <w:r>
        <w:rPr>
          <w:rFonts w:ascii="Calibri Light" w:hAnsi="Calibri Light" w:cs="Calibri Light"/>
          <w:kern w:val="2"/>
          <w:sz w:val="24"/>
          <w:szCs w:val="24"/>
          <w14:ligatures w14:val="standardContextual"/>
        </w:rPr>
        <w:t xml:space="preserve"> </w:t>
      </w:r>
      <w:commentRangeStart w:id="3"/>
      <w:r>
        <w:rPr>
          <w:rFonts w:ascii="Calibri Light" w:hAnsi="Calibri Light" w:cs="Calibri Light"/>
          <w:kern w:val="2"/>
          <w:sz w:val="24"/>
          <w:szCs w:val="24"/>
          <w14:ligatures w14:val="standardContextual"/>
        </w:rPr>
        <w:t xml:space="preserve">et al., </w:t>
      </w:r>
      <w:commentRangeEnd w:id="3"/>
      <w:r>
        <w:rPr>
          <w:rStyle w:val="CommentReference"/>
        </w:rPr>
        <w:commentReference w:id="3"/>
      </w:r>
      <w:r>
        <w:rPr>
          <w:rFonts w:ascii="Calibri Light" w:hAnsi="Calibri Light" w:cs="Calibri Light"/>
          <w:kern w:val="2"/>
          <w:sz w:val="24"/>
          <w:szCs w:val="24"/>
          <w14:ligatures w14:val="standardContextual"/>
        </w:rPr>
        <w:t xml:space="preserve">2022; </w:t>
      </w:r>
      <w:commentRangeStart w:id="4"/>
      <w:r>
        <w:rPr>
          <w:rFonts w:ascii="Calibri Light" w:hAnsi="Calibri Light" w:cs="Calibri Light"/>
          <w:kern w:val="2"/>
          <w:sz w:val="24"/>
          <w:szCs w:val="24"/>
          <w14:ligatures w14:val="standardContextual"/>
        </w:rPr>
        <w:t xml:space="preserve">Castro, </w:t>
      </w:r>
      <w:commentRangeEnd w:id="4"/>
      <w:r w:rsidR="008000AA">
        <w:rPr>
          <w:rStyle w:val="CommentReference"/>
        </w:rPr>
        <w:commentReference w:id="4"/>
      </w:r>
      <w:r>
        <w:rPr>
          <w:rFonts w:ascii="Calibri Light" w:hAnsi="Calibri Light" w:cs="Calibri Light"/>
          <w:kern w:val="2"/>
          <w:sz w:val="24"/>
          <w:szCs w:val="24"/>
          <w14:ligatures w14:val="standardContextual"/>
        </w:rPr>
        <w:t xml:space="preserve">2023; </w:t>
      </w:r>
      <w:commentRangeStart w:id="5"/>
      <w:r>
        <w:rPr>
          <w:rFonts w:ascii="Calibri Light" w:hAnsi="Calibri Light" w:cs="Calibri Light"/>
          <w:kern w:val="2"/>
          <w:sz w:val="24"/>
          <w:szCs w:val="24"/>
          <w14:ligatures w14:val="standardContextual"/>
        </w:rPr>
        <w:t>Zhang</w:t>
      </w:r>
      <w:commentRangeEnd w:id="5"/>
      <w:r w:rsidR="008000AA">
        <w:rPr>
          <w:rStyle w:val="CommentReference"/>
        </w:rPr>
        <w:commentReference w:id="5"/>
      </w:r>
      <w:r>
        <w:rPr>
          <w:rFonts w:ascii="Calibri Light" w:hAnsi="Calibri Light" w:cs="Calibri Light"/>
          <w:kern w:val="2"/>
          <w:sz w:val="24"/>
          <w:szCs w:val="24"/>
          <w14:ligatures w14:val="standardContextual"/>
        </w:rPr>
        <w:t xml:space="preserve"> </w:t>
      </w:r>
      <w:commentRangeStart w:id="6"/>
      <w:r>
        <w:rPr>
          <w:rFonts w:ascii="Calibri Light" w:hAnsi="Calibri Light" w:cs="Calibri Light"/>
          <w:kern w:val="2"/>
          <w:sz w:val="24"/>
          <w:szCs w:val="24"/>
          <w14:ligatures w14:val="standardContextual"/>
        </w:rPr>
        <w:t xml:space="preserve">et al., </w:t>
      </w:r>
      <w:commentRangeEnd w:id="6"/>
      <w:r>
        <w:rPr>
          <w:rStyle w:val="CommentReference"/>
        </w:rPr>
        <w:commentReference w:id="6"/>
      </w:r>
      <w:r>
        <w:rPr>
          <w:rFonts w:ascii="Calibri Light" w:hAnsi="Calibri Light" w:cs="Calibri Light"/>
          <w:kern w:val="2"/>
          <w:sz w:val="24"/>
          <w:szCs w:val="24"/>
          <w14:ligatures w14:val="standardContextual"/>
        </w:rPr>
        <w:t>2023). Despite its global success, Seaweed farming in Africa, including Zanzibar, faces challenges such as climate change impacts, market fluctuations, and limited adaptation strategies (Hassan &amp; Othman, 2019). This results in low participation among men and underutilization of the industry as they switch to other potential initiatives.</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t xml:space="preserve">Seaweed farming has emerged as a crucial economic activity for coastal communities, particularly benefiting women who dominate this workforce. This sector provides livelihoods and empowers women through income generation and community engagement. In Zanzibar, 87.5% of women engaged in seaweed farming reported improved family incomes, enabling better access to education and basic amenities (Kalumanga, 2024; Syafrudin </w:t>
      </w:r>
      <w:commentRangeStart w:id="7"/>
      <w:r>
        <w:rPr>
          <w:rFonts w:ascii="Calibri Light" w:hAnsi="Calibri Light" w:cs="Calibri Light"/>
          <w:kern w:val="2"/>
          <w:sz w:val="24"/>
          <w:szCs w:val="24"/>
          <w14:ligatures w14:val="standardContextual"/>
        </w:rPr>
        <w:t xml:space="preserve">et al., </w:t>
      </w:r>
      <w:commentRangeEnd w:id="7"/>
      <w:r w:rsidR="00390E30">
        <w:rPr>
          <w:rStyle w:val="CommentReference"/>
        </w:rPr>
        <w:commentReference w:id="7"/>
      </w:r>
      <w:r>
        <w:rPr>
          <w:rFonts w:ascii="Calibri Light" w:hAnsi="Calibri Light" w:cs="Calibri Light"/>
          <w:kern w:val="2"/>
          <w:sz w:val="24"/>
          <w:szCs w:val="24"/>
          <w14:ligatures w14:val="standardContextual"/>
        </w:rPr>
        <w:t xml:space="preserve">2024). This justifies that women dominate the workforce and contribute to various efforts. The government has promoted seaweed farming as an avenue for poverty alleviation, particularly for women who face limited access to other forms of employment. While these efforts have resulted in notable progress for women’s economic empowerment, a significant gap remains: the underrepresentation of men. Despite its economic potential, seaweed farming has not attracted men on a large scale, raising critical questions about the economic potential that could be unlocked through more inclusive engagement. </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t xml:space="preserve">Men’s participation in seaweed farming in Zanzibar is significantly lower than women (Msuya &amp; Hurtado, 2017). This trend is generally similar to the African context, as evidenced by (ibid). This gendered division of labor has historical roots in the socio-cultural dynamics of the region, where </w:t>
      </w:r>
      <w:r>
        <w:rPr>
          <w:rFonts w:ascii="Calibri Light" w:hAnsi="Calibri Light" w:cs="Calibri Light"/>
          <w:kern w:val="2"/>
          <w:sz w:val="24"/>
          <w:szCs w:val="24"/>
          <w14:ligatures w14:val="standardContextual"/>
        </w:rPr>
        <w:lastRenderedPageBreak/>
        <w:t xml:space="preserve">seaweed farming is perceived as a low-status job. There is a shift of men in Zanzibar towards more prestigious or physically demanding sectors, such as fishing, construction, and tourism, reflecting socio-economic dynamics and changing livelihood strategies. Various factors, including income stability, gender roles, and the impact of tourism on traditional livelihoods, influence this transition. (Avieli &amp; Sermoneta, 2020; Benansio et al., 2016; Pike et al., 2024). These initiatives generate higher financial gains and social standing, discouraging men from joining the seaweed farming workforce. </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t xml:space="preserve">Addressing men's participation in seaweed farming is challenging due to socio-cultural perspectives. These norms position men as primary breadwinners, expected to pursue activities with higher financial returns (Fröcklin et al., 2013). While seaweed farming offers steady income opportunities, it is seen as less lucrative than other economic initiatives men typically pursue (Msuya, 2012). Moreover, access to resources such as capital, education, and technical support for men in this sector remains limited, further discouraging male involvement. These barriers not only impede male participation but also perpetuate traditional gender roles that restrict economic diversification within households. </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t>The exclusion of men from seaweed farming has implications for the economic development of coastal communities. While the industry has empowered women, the potential to enhance household income through shared economic activities remains untapped. Men's involvement could significantly boost productivity and growth. This enhances household income diversification and economic resilience. This male participation could transform seaweed farming from a secondary industry to a primary economic activity, maximizing its impact on economic growth. It is crucial to recognize the importance of shared economic activities and the need for gender inclusivity in seaweed farming to harness its economic potential fully.</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t>Moreover, the structural barriers limiting men's participation go beyond cultural norms. Lack of access to capital, education, adequate funding, and technical support are issues that limit men's participation in the sector (Rubekie &amp; Bwathondi, 2022). This can lead men to prefer other industries like fishing and tourism, which are more capital-intensive and socially regarded as more suitable for men. These structural barriers reinforce the notion that seaweed farming is not a viable or desirable option for men, further perpetuating their exclusion from this sector.</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lastRenderedPageBreak/>
        <w:t>This gendered division of labor affects the economic potential of seaweed farming and limits the opportunities for household income diversification. In households where men and women engage in diverse economic activities, income streams are stable and resilient against economic shocks (IMF, 2024). Seaweed farming could offer valuable diversification, especially with equal participation from both men and women. Nevertheless, the ongoing exclusion of men from seaweed farming limits these opportunities, constraining the economic benefits households and communities could otherwise enjoy.</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t>While a significant body of research has focused on women's empowerment through seaweed farming, a notable gap in the literature concerning the factors influencing men's participation remains. Addressing this concern is essential for fostering a more inclusive seaweed farming sector to maximize economic benefits for households and communities. Efforts to develop the seaweed farming industry in Zanzibar will likely remain constrained without addressing the challenges limiting men's participation. This constraint reduces opportunities for growth within the blue economy, gender equality, and economic resilience.</w:t>
      </w:r>
    </w:p>
    <w:p w:rsidR="001823E0" w:rsidRDefault="009C58BB">
      <w:pPr>
        <w:spacing w:before="100" w:beforeAutospacing="1" w:after="100" w:afterAutospacing="1" w:line="360" w:lineRule="auto"/>
        <w:jc w:val="both"/>
        <w:rPr>
          <w:rFonts w:ascii="Calibri Light" w:hAnsi="Calibri Light" w:cs="Calibri Light"/>
          <w:kern w:val="2"/>
          <w:sz w:val="24"/>
          <w:szCs w:val="24"/>
          <w14:ligatures w14:val="standardContextual"/>
        </w:rPr>
      </w:pPr>
      <w:r>
        <w:rPr>
          <w:rFonts w:ascii="Calibri Light" w:hAnsi="Calibri Light" w:cs="Calibri Light"/>
          <w:kern w:val="2"/>
          <w:sz w:val="24"/>
          <w:szCs w:val="24"/>
          <w14:ligatures w14:val="standardContextual"/>
        </w:rPr>
        <w:t>Understanding the factors influencing men's participation in seaweed farming is vital for devising initiatives that promote gender equality and inclusivity in this industry. Researching factors influencing participation decisions can help bridge the participation gap and ensure that seaweed farming benefits the entire community. Therefore, this study addresses the gaps in exploring the factors influencing men's participation in seaweed farming in Zanzibar, Tanzania. Exploring this landscape can promote an inclusive and gender-balanced seaweed farming subsector. Promoting male participation can unlock the full economic potential of seaweed farming, thereby contributing to sustainable development and poverty alleviation in coastal communities.</w:t>
      </w:r>
    </w:p>
    <w:p w:rsidR="001823E0" w:rsidRDefault="009C58BB">
      <w:pPr>
        <w:spacing w:before="100" w:beforeAutospacing="1" w:after="100" w:afterAutospacing="1" w:line="360" w:lineRule="auto"/>
        <w:jc w:val="both"/>
        <w:rPr>
          <w:rFonts w:ascii="Calibri Light" w:eastAsia="Times New Roman" w:hAnsi="Calibri Light" w:cs="Calibri Light"/>
          <w:b/>
          <w:bCs/>
          <w:sz w:val="24"/>
          <w:szCs w:val="24"/>
        </w:rPr>
      </w:pPr>
      <w:r>
        <w:rPr>
          <w:rFonts w:ascii="Calibri Light" w:eastAsia="Times New Roman" w:hAnsi="Calibri Light" w:cs="Calibri Light"/>
          <w:b/>
          <w:bCs/>
          <w:sz w:val="24"/>
          <w:szCs w:val="24"/>
        </w:rPr>
        <w:t>Methods</w:t>
      </w:r>
    </w:p>
    <w:p w:rsidR="001823E0" w:rsidRDefault="009C58BB">
      <w:pPr>
        <w:spacing w:before="100" w:beforeAutospacing="1" w:after="100" w:afterAutospacing="1" w:line="360" w:lineRule="auto"/>
        <w:jc w:val="both"/>
        <w:rPr>
          <w:rFonts w:ascii="Calibri Light" w:eastAsia="Times New Roman" w:hAnsi="Calibri Light" w:cs="Calibri Light"/>
          <w:b/>
          <w:bCs/>
          <w:sz w:val="24"/>
          <w:szCs w:val="24"/>
        </w:rPr>
      </w:pPr>
      <w:r>
        <w:rPr>
          <w:rFonts w:ascii="Calibri Light" w:eastAsia="Times New Roman" w:hAnsi="Calibri Light" w:cs="Calibri Light"/>
          <w:b/>
          <w:bCs/>
          <w:sz w:val="24"/>
          <w:szCs w:val="24"/>
        </w:rPr>
        <w:t>Research Design</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 xml:space="preserve">This study utilized a cross-sectional research design to examine the factors influencing men's participation in seaweed farming in Zanzibar, Tanzania. The design was chosen because it allowed data collection simultaneously rather than over an extended period (Sewando </w:t>
      </w:r>
      <w:r>
        <w:rPr>
          <w:rFonts w:ascii="Calibri Light" w:eastAsia="Times New Roman" w:hAnsi="Calibri Light" w:cs="Calibri Light"/>
          <w:i/>
          <w:iCs/>
          <w:sz w:val="24"/>
          <w:szCs w:val="24"/>
        </w:rPr>
        <w:t>et al.,</w:t>
      </w:r>
      <w:r>
        <w:rPr>
          <w:rFonts w:ascii="Calibri Light" w:eastAsia="Times New Roman" w:hAnsi="Calibri Light" w:cs="Calibri Light"/>
          <w:sz w:val="24"/>
          <w:szCs w:val="24"/>
        </w:rPr>
        <w:t xml:space="preserve"> 2022; Kilamlya &amp; Utonga, 2024). This method is particularly effective for providing a snapshot of </w:t>
      </w:r>
      <w:r>
        <w:rPr>
          <w:rFonts w:ascii="Calibri Light" w:eastAsia="Times New Roman" w:hAnsi="Calibri Light" w:cs="Calibri Light"/>
          <w:sz w:val="24"/>
          <w:szCs w:val="24"/>
        </w:rPr>
        <w:lastRenderedPageBreak/>
        <w:t xml:space="preserve">the situation by capturing the current state of men's participation in seaweed farming, along with the various factors influencing it, all at once. The simultaneous data collection helps identify trends, relationships, and potential barriers or enablers that influence men’s involvement in this sector. This approach is ideal when studying a specific phenomenon over a fixed period, as it offers a clear and efficient way to assess key factors in the context of seaweed farming without the need for long-term data tracking. </w:t>
      </w:r>
    </w:p>
    <w:p w:rsidR="001823E0" w:rsidRDefault="009C58BB">
      <w:pPr>
        <w:spacing w:before="100" w:beforeAutospacing="1" w:after="100" w:afterAutospacing="1" w:line="360" w:lineRule="auto"/>
        <w:jc w:val="both"/>
        <w:rPr>
          <w:rFonts w:ascii="Calibri Light" w:eastAsia="Times New Roman" w:hAnsi="Calibri Light" w:cs="Calibri Light"/>
          <w:b/>
          <w:bCs/>
          <w:sz w:val="24"/>
          <w:szCs w:val="24"/>
        </w:rPr>
      </w:pPr>
      <w:commentRangeStart w:id="8"/>
      <w:r>
        <w:rPr>
          <w:rFonts w:ascii="Calibri Light" w:eastAsia="Times New Roman" w:hAnsi="Calibri Light" w:cs="Calibri Light"/>
          <w:b/>
          <w:bCs/>
          <w:sz w:val="24"/>
          <w:szCs w:val="24"/>
        </w:rPr>
        <w:t>Study Area</w:t>
      </w:r>
      <w:commentRangeEnd w:id="8"/>
      <w:r w:rsidR="00390E30">
        <w:rPr>
          <w:rStyle w:val="CommentReference"/>
        </w:rPr>
        <w:commentReference w:id="8"/>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The study was conducted in three coastal wards of Zanzibar—Paje, Bwejuu, and Jambiani—located on the southeast coast of Unguja Island. These wards are renowned for seaweed farming, a potential economic activity in Zanzibar (Kalumanga, 2018). The areas were selected to examine the factors influencing men's participation in seaweed farming. This choice was based on their prominence in the industry and the socioeconomic and cultural dynamics that could create a conducive study environment. Paje and Bwejuu Jambiani are among the major seaweed producers in Zanzibar (Hamad &amp; Islam,2022; Largo et al., 2020).  These have a long history of seaweed farming in generating income. The economic dependence of these areas on seaweed farming makes them important sites for this study.</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Target Population</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 xml:space="preserve">The study focused on adult </w:t>
      </w:r>
      <w:r>
        <w:rPr>
          <w:rFonts w:ascii="Calibri Light" w:hAnsi="Calibri Light" w:cs="Calibri Light"/>
          <w:bCs/>
          <w:sz w:val="24"/>
          <w:szCs w:val="24"/>
        </w:rPr>
        <w:t>males (aged 18 and older)</w:t>
      </w:r>
      <w:r>
        <w:rPr>
          <w:rFonts w:ascii="Calibri Light" w:hAnsi="Calibri Light" w:cs="Calibri Light"/>
          <w:sz w:val="24"/>
          <w:szCs w:val="24"/>
        </w:rPr>
        <w:t xml:space="preserve"> living in coastal communities where seaweed farming is common. In addition, key informants such as local leaders, extension officers, and representatives from seaweed farming associations were included to provide additional information for the study.</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Sample Size and Sampling Technique</w:t>
      </w:r>
    </w:p>
    <w:p w:rsidR="001823E0" w:rsidRDefault="009C58BB">
      <w:pPr>
        <w:spacing w:line="360" w:lineRule="auto"/>
        <w:jc w:val="both"/>
        <w:rPr>
          <w:rFonts w:ascii="Calibri Light" w:hAnsi="Calibri Light" w:cs="Calibri Light"/>
          <w:bCs/>
          <w:sz w:val="24"/>
          <w:szCs w:val="24"/>
        </w:rPr>
      </w:pPr>
      <w:r>
        <w:rPr>
          <w:rFonts w:ascii="Calibri Light" w:hAnsi="Calibri Light" w:cs="Calibri Light"/>
          <w:bCs/>
          <w:sz w:val="24"/>
          <w:szCs w:val="24"/>
        </w:rPr>
        <w:t>The study employed a sample size of 150 men. Due to the absence of reliable data on the total number of men engaged in or excluded from seaweed farming, the sample was evenly distributed across three wards: Paje, Bwejuu, and Jambiani. We used simple random sampling to ensure fair and unbiased representation, selecting 50 men from each ward. This method was chosen to avoid selection bias and capture a balanced perspective on seaweed farmers and non-participants, allowing for more robust comparisons across the groups.</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lastRenderedPageBreak/>
        <w:t>Data Collection Methods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A survey was conducted among 150 male respondents to gather demographic information and socio-economic data, including education, income, and resource access. The survey featured a mix of closed-ended and open-ended questions to capture a wide range of responses. It specifically aimed to gather information on demographic characteristics such as age, education level, marital status, and occupation. Additionally, it sought to understand the factors influencing participation in seaweed farming, encompassing cultural norms, economic challenges, and environmental constraints.</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Ethical Considerations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Before collecting data, we obtained ethical approval from the South District Council in the South Unguja Region, Zanzibar. We ensured that all participants provided informed consent, understood the purpose of the study, and were entitled to withdraw at any time. To protect privacy, we maintained anonymity and confidentiality and securely stored all data.</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Data Analysis</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Descriptive Statistics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The initial phase of the study involved analyzing the data using descriptive statistics to summarize the demographic characteristics of the respondents. The primary objective of this analysis was to present the data clearly and easily interpretably, employing frequencies and percentages. Demographic characteristics like age, gender, education level, and household size provide an overview of the respondent population. For example, frequencies show the number of respondents who have completed primary education, while percentages help understand the relative proportion of men engaged in seaweed farming. This provided a clear picture of the sample composition before exploring the study.</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Model Specification for Men's Participation in Seaweed Farming</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 xml:space="preserve">The study used a binary logistic regression (logit model) to examine the factors influencing men's participation in seaweed farming in the study area. This method is ideal for analyzing models with binary outcomes, such as participation or non-participation. The model quantified the likelihood of men participating in seaweed farming and examined the influence of the factors on </w:t>
      </w:r>
      <w:r>
        <w:rPr>
          <w:rFonts w:ascii="Calibri Light" w:hAnsi="Calibri Light" w:cs="Calibri Light"/>
          <w:sz w:val="24"/>
          <w:szCs w:val="24"/>
        </w:rPr>
        <w:lastRenderedPageBreak/>
        <w:t>this likelihood. Kilamlya and Utonga (2024) note that the technique is well-suited for analysing models with limited dependent variables and binary outcomes. This makes it relevant for this study. The model successfully captured the factors that influence the likelihood of men engaging in seaweed farming.</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 xml:space="preserve">Given that the dependent variable </w:t>
      </w:r>
      <m:oMath>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P</m:t>
            </m:r>
          </m:e>
          <m:sub>
            <m:r>
              <w:rPr>
                <w:rFonts w:ascii="Cambria Math" w:eastAsia="Times New Roman" w:hAnsi="Cambria Math" w:cs="Calibri Light"/>
                <w:lang w:eastAsia="en-GB"/>
              </w:rPr>
              <m:t>i</m:t>
            </m:r>
          </m:sub>
        </m:sSub>
      </m:oMath>
      <w:r>
        <w:rPr>
          <w:rFonts w:ascii="Calibri Light" w:hAnsi="Calibri Light" w:cs="Calibri Light"/>
          <w:sz w:val="24"/>
          <w:szCs w:val="24"/>
        </w:rPr>
        <w:t xml:space="preserve"> is binary, the logit model was suitable for determining the factors influencing the participation. The logit function transforms the binary outcome into a continuous variable that can be modelled linearly. Therefore, the model is specified as follows:</w:t>
      </w:r>
    </w:p>
    <w:p w:rsidR="001823E0" w:rsidRDefault="009C58BB">
      <w:pPr>
        <w:spacing w:after="0"/>
        <w:jc w:val="both"/>
        <w:rPr>
          <w:rFonts w:ascii="Calibri Light" w:eastAsia="Times New Roman" w:hAnsi="Calibri Light" w:cs="Calibri Light"/>
          <w:lang w:eastAsia="en-GB"/>
        </w:rPr>
      </w:pPr>
      <w:bookmarkStart w:id="9" w:name="_Hlk180337023"/>
      <m:oMathPara>
        <m:oMathParaPr>
          <m:jc m:val="center"/>
        </m:oMathParaPr>
        <m:oMath>
          <m:r>
            <w:rPr>
              <w:rFonts w:ascii="Cambria Math" w:eastAsia="Times New Roman" w:hAnsi="Cambria Math" w:cs="Calibri Light"/>
              <w:lang w:eastAsia="en-GB"/>
            </w:rPr>
            <m:t>log</m:t>
          </m:r>
          <m:d>
            <m:dPr>
              <m:ctrlPr>
                <w:rPr>
                  <w:rFonts w:ascii="Cambria Math" w:eastAsia="Times New Roman" w:hAnsi="Cambria Math" w:cs="Calibri Light"/>
                  <w:i/>
                  <w:lang w:eastAsia="en-GB"/>
                </w:rPr>
              </m:ctrlPr>
            </m:dPr>
            <m:e>
              <m:f>
                <m:fPr>
                  <m:ctrlPr>
                    <w:rPr>
                      <w:rFonts w:ascii="Cambria Math" w:eastAsia="Times New Roman" w:hAnsi="Cambria Math" w:cs="Calibri Light"/>
                      <w:i/>
                      <w:lang w:eastAsia="en-GB"/>
                    </w:rPr>
                  </m:ctrlPr>
                </m:fPr>
                <m:num>
                  <w:bookmarkStart w:id="10" w:name="_Hlk180336730"/>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P</m:t>
                      </m:r>
                    </m:e>
                    <m:sub>
                      <m:r>
                        <w:rPr>
                          <w:rFonts w:ascii="Cambria Math" w:eastAsia="Times New Roman" w:hAnsi="Cambria Math" w:cs="Calibri Light"/>
                          <w:lang w:eastAsia="en-GB"/>
                        </w:rPr>
                        <m:t>i</m:t>
                      </m:r>
                    </m:sub>
                  </m:sSub>
                  <w:bookmarkEnd w:id="10"/>
                </m:num>
                <m:den>
                  <w:bookmarkStart w:id="11" w:name="_Hlk180336927"/>
                  <m:r>
                    <w:rPr>
                      <w:rFonts w:ascii="Cambria Math" w:eastAsia="Times New Roman" w:hAnsi="Cambria Math" w:cs="Calibri Light"/>
                      <w:lang w:eastAsia="en-GB"/>
                    </w:rPr>
                    <m:t>1-</m:t>
                  </m:r>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P</m:t>
                      </m:r>
                    </m:e>
                    <m:sub>
                      <m:r>
                        <w:rPr>
                          <w:rFonts w:ascii="Cambria Math" w:eastAsia="Times New Roman" w:hAnsi="Cambria Math" w:cs="Calibri Light"/>
                          <w:lang w:eastAsia="en-GB"/>
                        </w:rPr>
                        <m:t>i</m:t>
                      </m:r>
                    </m:sub>
                  </m:sSub>
                  <w:bookmarkEnd w:id="11"/>
                </m:den>
              </m:f>
            </m:e>
          </m:d>
          <w:bookmarkEnd w:id="9"/>
          <m:r>
            <w:rPr>
              <w:rFonts w:ascii="Cambria Math" w:eastAsia="Times New Roman" w:hAnsi="Cambria Math" w:cs="Calibri Light"/>
              <w:lang w:eastAsia="en-GB"/>
            </w:rPr>
            <m:t>=</m:t>
          </m:r>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β</m:t>
              </m:r>
            </m:e>
            <m:sub>
              <m:r>
                <w:rPr>
                  <w:rFonts w:ascii="Cambria Math" w:eastAsia="Times New Roman" w:hAnsi="Cambria Math" w:cs="Calibri Light"/>
                  <w:lang w:eastAsia="en-GB"/>
                </w:rPr>
                <m:t>0</m:t>
              </m:r>
            </m:sub>
          </m:sSub>
          <m:r>
            <w:rPr>
              <w:rFonts w:ascii="Cambria Math" w:eastAsia="Times New Roman" w:hAnsi="Cambria Math" w:cs="Calibri Light"/>
              <w:lang w:eastAsia="en-GB"/>
            </w:rPr>
            <m:t>+</m:t>
          </m:r>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β</m:t>
              </m:r>
            </m:e>
            <m:sub>
              <m:r>
                <w:rPr>
                  <w:rFonts w:ascii="Cambria Math" w:eastAsia="Times New Roman" w:hAnsi="Cambria Math" w:cs="Calibri Light"/>
                  <w:lang w:eastAsia="en-GB"/>
                </w:rPr>
                <m:t>1</m:t>
              </m:r>
            </m:sub>
          </m:sSub>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X</m:t>
              </m:r>
            </m:e>
            <m:sub>
              <m:r>
                <w:rPr>
                  <w:rFonts w:ascii="Cambria Math" w:eastAsia="Times New Roman" w:hAnsi="Cambria Math" w:cs="Calibri Light"/>
                  <w:lang w:eastAsia="en-GB"/>
                </w:rPr>
                <m:t>1i</m:t>
              </m:r>
            </m:sub>
          </m:sSub>
          <m:r>
            <w:rPr>
              <w:rFonts w:ascii="Cambria Math" w:eastAsia="Times New Roman" w:hAnsi="Cambria Math" w:cs="Calibri Light"/>
              <w:lang w:eastAsia="en-GB"/>
            </w:rPr>
            <m:t>+</m:t>
          </m:r>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β</m:t>
              </m:r>
            </m:e>
            <m:sub>
              <m:r>
                <w:rPr>
                  <w:rFonts w:ascii="Cambria Math" w:eastAsia="Times New Roman" w:hAnsi="Cambria Math" w:cs="Calibri Light"/>
                  <w:lang w:eastAsia="en-GB"/>
                </w:rPr>
                <m:t>2</m:t>
              </m:r>
            </m:sub>
          </m:sSub>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X</m:t>
              </m:r>
            </m:e>
            <m:sub>
              <m:r>
                <w:rPr>
                  <w:rFonts w:ascii="Cambria Math" w:eastAsia="Times New Roman" w:hAnsi="Cambria Math" w:cs="Calibri Light"/>
                  <w:lang w:eastAsia="en-GB"/>
                </w:rPr>
                <m:t>2</m:t>
              </m:r>
            </m:sub>
          </m:sSub>
          <m:r>
            <w:rPr>
              <w:rFonts w:ascii="Cambria Math" w:eastAsia="Times New Roman" w:hAnsi="Cambria Math" w:cs="Calibri Light"/>
              <w:lang w:eastAsia="en-GB"/>
            </w:rPr>
            <m:t>+…+</m:t>
          </m:r>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β</m:t>
              </m:r>
            </m:e>
            <m:sub>
              <m:r>
                <w:rPr>
                  <w:rFonts w:ascii="Cambria Math" w:eastAsia="Times New Roman" w:hAnsi="Cambria Math" w:cs="Calibri Light"/>
                  <w:lang w:eastAsia="en-GB"/>
                </w:rPr>
                <m:t>10</m:t>
              </m:r>
            </m:sub>
          </m:sSub>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X</m:t>
              </m:r>
            </m:e>
            <m:sub>
              <m:r>
                <w:rPr>
                  <w:rFonts w:ascii="Cambria Math" w:eastAsia="Times New Roman" w:hAnsi="Cambria Math" w:cs="Calibri Light"/>
                  <w:lang w:eastAsia="en-GB"/>
                </w:rPr>
                <m:t>10i</m:t>
              </m:r>
            </m:sub>
          </m:sSub>
          <m:r>
            <w:rPr>
              <w:rFonts w:ascii="Cambria Math" w:eastAsia="Times New Roman" w:hAnsi="Cambria Math" w:cs="Calibri Light"/>
              <w:lang w:eastAsia="en-GB"/>
            </w:rPr>
            <m:t>+</m:t>
          </m:r>
          <m:sSub>
            <m:sSubPr>
              <m:ctrlPr>
                <w:rPr>
                  <w:rStyle w:val="mord"/>
                  <w:rFonts w:ascii="Cambria Math" w:hAnsi="Cambria Math" w:cs="Calibri Light"/>
                </w:rPr>
              </m:ctrlPr>
            </m:sSubPr>
            <m:e>
              <m:r>
                <m:rPr>
                  <m:sty m:val="p"/>
                </m:rPr>
                <w:rPr>
                  <w:rStyle w:val="mord"/>
                  <w:rFonts w:ascii="Cambria Math" w:hAnsi="Cambria Math" w:cs="Calibri Light"/>
                </w:rPr>
                <m:t>ε</m:t>
              </m:r>
              <m:r>
                <m:rPr>
                  <m:sty m:val="p"/>
                </m:rPr>
                <w:rPr>
                  <w:rStyle w:val="vlist-s"/>
                  <w:rFonts w:ascii="Cambria Math" w:hAnsi="Cambria Math" w:cs="Calibri Light"/>
                </w:rPr>
                <m:t>​</m:t>
              </m:r>
            </m:e>
            <m:sub>
              <m:r>
                <w:rPr>
                  <w:rStyle w:val="mord"/>
                  <w:rFonts w:ascii="Cambria Math" w:hAnsi="Cambria Math" w:cs="Calibri Light"/>
                </w:rPr>
                <m:t>i</m:t>
              </m:r>
            </m:sub>
          </m:sSub>
          <m:r>
            <w:rPr>
              <w:rFonts w:ascii="Cambria Math" w:eastAsia="Times New Roman" w:hAnsi="Cambria Math" w:cs="Calibri Light"/>
              <w:lang w:eastAsia="en-GB"/>
            </w:rPr>
            <m:t xml:space="preserve"> </m:t>
          </m:r>
        </m:oMath>
      </m:oMathPara>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Where:</w:t>
      </w:r>
    </w:p>
    <w:p w:rsidR="001823E0" w:rsidRDefault="00362FA4">
      <w:pPr>
        <w:pStyle w:val="ListParagraph"/>
        <w:numPr>
          <w:ilvl w:val="1"/>
          <w:numId w:val="1"/>
        </w:numPr>
        <w:spacing w:line="360" w:lineRule="auto"/>
        <w:ind w:left="993"/>
        <w:jc w:val="both"/>
        <w:rPr>
          <w:rFonts w:ascii="Calibri Light" w:eastAsia="SimSun" w:hAnsi="Calibri Light" w:cs="Calibri Light"/>
          <w:lang w:eastAsia="en-GB"/>
        </w:rPr>
      </w:pPr>
      <m:oMath>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P</m:t>
            </m:r>
          </m:e>
          <m:sub>
            <m:r>
              <w:rPr>
                <w:rFonts w:ascii="Cambria Math" w:eastAsia="Times New Roman" w:hAnsi="Cambria Math" w:cs="Calibri Light"/>
                <w:lang w:eastAsia="en-GB"/>
              </w:rPr>
              <m:t>i</m:t>
            </m:r>
          </m:sub>
        </m:sSub>
      </m:oMath>
      <w:r w:rsidR="009C58BB">
        <w:rPr>
          <w:rFonts w:ascii="Calibri Light" w:eastAsia="SimSun" w:hAnsi="Calibri Light" w:cs="Calibri Light"/>
          <w:lang w:eastAsia="en-GB"/>
        </w:rPr>
        <w:t xml:space="preserve"> is the probability of participation in the </w:t>
      </w:r>
      <m:oMath>
        <m:r>
          <w:rPr>
            <w:rFonts w:ascii="Cambria Math" w:eastAsia="Times New Roman" w:hAnsi="Cambria Math" w:cs="Calibri Light"/>
            <w:lang w:eastAsia="en-GB"/>
          </w:rPr>
          <m:t>i</m:t>
        </m:r>
      </m:oMath>
      <w:r w:rsidR="009C58BB">
        <w:rPr>
          <w:rFonts w:ascii="Calibri Light" w:eastAsia="SimSun" w:hAnsi="Calibri Light" w:cs="Calibri Light"/>
          <w:i/>
          <w:iCs/>
          <w:vertAlign w:val="superscript"/>
          <w:lang w:eastAsia="en-GB"/>
        </w:rPr>
        <w:t>th</w:t>
      </w:r>
      <w:r w:rsidR="009C58BB">
        <w:rPr>
          <w:rFonts w:ascii="Calibri Light" w:hAnsi="Calibri Light" w:cs="Calibri Light"/>
          <w:sz w:val="24"/>
          <w:szCs w:val="24"/>
        </w:rPr>
        <w:t xml:space="preserve"> man, and  </w:t>
      </w:r>
      <m:oMath>
        <m:r>
          <w:rPr>
            <w:rFonts w:ascii="Cambria Math" w:eastAsia="Times New Roman" w:hAnsi="Cambria Math" w:cs="Calibri Light"/>
            <w:lang w:eastAsia="en-GB"/>
          </w:rPr>
          <m:t>1-</m:t>
        </m:r>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P</m:t>
            </m:r>
          </m:e>
          <m:sub>
            <m:r>
              <w:rPr>
                <w:rFonts w:ascii="Cambria Math" w:eastAsia="Times New Roman" w:hAnsi="Cambria Math" w:cs="Calibri Light"/>
                <w:lang w:eastAsia="en-GB"/>
              </w:rPr>
              <m:t>i</m:t>
            </m:r>
          </m:sub>
        </m:sSub>
      </m:oMath>
      <w:r w:rsidR="009C58BB">
        <w:rPr>
          <w:rFonts w:ascii="Calibri Light" w:eastAsia="SimSun" w:hAnsi="Calibri Light" w:cs="Calibri Light"/>
          <w:lang w:eastAsia="en-GB"/>
        </w:rPr>
        <w:t xml:space="preserve"> is the probability of non-participation.</w:t>
      </w:r>
    </w:p>
    <w:p w:rsidR="001823E0" w:rsidRDefault="009C58BB">
      <w:pPr>
        <w:pStyle w:val="ListParagraph"/>
        <w:numPr>
          <w:ilvl w:val="1"/>
          <w:numId w:val="1"/>
        </w:numPr>
        <w:spacing w:line="360" w:lineRule="auto"/>
        <w:ind w:left="993"/>
        <w:jc w:val="both"/>
        <w:rPr>
          <w:rFonts w:ascii="Calibri Light" w:eastAsia="SimSun" w:hAnsi="Calibri Light" w:cs="Calibri Light"/>
          <w:lang w:eastAsia="en-GB"/>
        </w:rPr>
      </w:pPr>
      <m:oMath>
        <m:r>
          <w:rPr>
            <w:rFonts w:ascii="Cambria Math" w:eastAsia="SimSun" w:hAnsi="Cambria Math" w:cs="Calibri Light"/>
            <w:lang w:eastAsia="en-GB"/>
          </w:rPr>
          <m:t>log</m:t>
        </m:r>
        <m:d>
          <m:dPr>
            <m:ctrlPr>
              <w:rPr>
                <w:rFonts w:ascii="Cambria Math" w:eastAsia="SimSun" w:hAnsi="Cambria Math" w:cs="Calibri Light"/>
                <w:i/>
                <w:lang w:eastAsia="en-GB"/>
              </w:rPr>
            </m:ctrlPr>
          </m:dPr>
          <m:e>
            <m:f>
              <m:fPr>
                <m:ctrlPr>
                  <w:rPr>
                    <w:rFonts w:ascii="Cambria Math" w:eastAsia="SimSun" w:hAnsi="Cambria Math" w:cs="Calibri Light"/>
                    <w:i/>
                    <w:lang w:eastAsia="en-GB"/>
                  </w:rPr>
                </m:ctrlPr>
              </m:fPr>
              <m:num>
                <m:sSub>
                  <m:sSubPr>
                    <m:ctrlPr>
                      <w:rPr>
                        <w:rFonts w:ascii="Cambria Math" w:eastAsia="SimSun" w:hAnsi="Cambria Math" w:cs="Calibri Light"/>
                        <w:i/>
                        <w:lang w:eastAsia="en-GB"/>
                      </w:rPr>
                    </m:ctrlPr>
                  </m:sSubPr>
                  <m:e>
                    <m:r>
                      <w:rPr>
                        <w:rFonts w:ascii="Cambria Math" w:eastAsia="SimSun" w:hAnsi="Cambria Math" w:cs="Calibri Light"/>
                        <w:lang w:eastAsia="en-GB"/>
                      </w:rPr>
                      <m:t>P</m:t>
                    </m:r>
                  </m:e>
                  <m:sub>
                    <m:r>
                      <w:rPr>
                        <w:rFonts w:ascii="Cambria Math" w:eastAsia="SimSun" w:hAnsi="Cambria Math" w:cs="Calibri Light"/>
                        <w:lang w:eastAsia="en-GB"/>
                      </w:rPr>
                      <m:t>i</m:t>
                    </m:r>
                  </m:sub>
                </m:sSub>
              </m:num>
              <m:den>
                <m:r>
                  <w:rPr>
                    <w:rFonts w:ascii="Cambria Math" w:eastAsia="SimSun" w:hAnsi="Cambria Math" w:cs="Calibri Light"/>
                    <w:lang w:eastAsia="en-GB"/>
                  </w:rPr>
                  <m:t>1-</m:t>
                </m:r>
                <m:sSub>
                  <m:sSubPr>
                    <m:ctrlPr>
                      <w:rPr>
                        <w:rFonts w:ascii="Cambria Math" w:eastAsia="SimSun" w:hAnsi="Cambria Math" w:cs="Calibri Light"/>
                        <w:i/>
                        <w:lang w:eastAsia="en-GB"/>
                      </w:rPr>
                    </m:ctrlPr>
                  </m:sSubPr>
                  <m:e>
                    <m:r>
                      <w:rPr>
                        <w:rFonts w:ascii="Cambria Math" w:eastAsia="SimSun" w:hAnsi="Cambria Math" w:cs="Calibri Light"/>
                        <w:lang w:eastAsia="en-GB"/>
                      </w:rPr>
                      <m:t>P</m:t>
                    </m:r>
                  </m:e>
                  <m:sub>
                    <m:r>
                      <w:rPr>
                        <w:rFonts w:ascii="Cambria Math" w:eastAsia="SimSun" w:hAnsi="Cambria Math" w:cs="Calibri Light"/>
                        <w:lang w:eastAsia="en-GB"/>
                      </w:rPr>
                      <m:t>i</m:t>
                    </m:r>
                  </m:sub>
                </m:sSub>
              </m:den>
            </m:f>
          </m:e>
        </m:d>
        <m:r>
          <w:rPr>
            <w:rFonts w:ascii="Cambria Math" w:eastAsia="SimSun" w:hAnsi="Cambria Math" w:cs="Calibri Light"/>
            <w:lang w:eastAsia="en-GB"/>
          </w:rPr>
          <m:t xml:space="preserve"> </m:t>
        </m:r>
      </m:oMath>
      <w:r>
        <w:rPr>
          <w:rFonts w:ascii="Calibri Light" w:eastAsia="SimSun" w:hAnsi="Calibri Light" w:cs="Calibri Light"/>
          <w:lang w:eastAsia="en-GB"/>
        </w:rPr>
        <w:t>represents the log-odds ratio of participating in seaweed farming.</w:t>
      </w:r>
    </w:p>
    <w:p w:rsidR="001823E0" w:rsidRDefault="00362FA4">
      <w:pPr>
        <w:pStyle w:val="ListParagraph"/>
        <w:numPr>
          <w:ilvl w:val="1"/>
          <w:numId w:val="1"/>
        </w:numPr>
        <w:spacing w:line="360" w:lineRule="auto"/>
        <w:ind w:left="993"/>
        <w:jc w:val="both"/>
        <w:rPr>
          <w:rFonts w:ascii="Calibri Light" w:eastAsia="SimSun" w:hAnsi="Calibri Light" w:cs="Calibri Light"/>
          <w:lang w:eastAsia="en-GB"/>
        </w:rPr>
      </w:pPr>
      <m:oMath>
        <m:sSub>
          <m:sSubPr>
            <m:ctrlPr>
              <w:rPr>
                <w:rFonts w:ascii="Cambria Math" w:eastAsia="SimSun" w:hAnsi="Cambria Math" w:cs="Calibri Light"/>
                <w:i/>
                <w:lang w:eastAsia="en-GB"/>
              </w:rPr>
            </m:ctrlPr>
          </m:sSubPr>
          <m:e>
            <m:r>
              <w:rPr>
                <w:rFonts w:ascii="Cambria Math" w:eastAsia="SimSun" w:hAnsi="Cambria Math" w:cs="Calibri Light"/>
                <w:lang w:eastAsia="en-GB"/>
              </w:rPr>
              <m:t>β</m:t>
            </m:r>
          </m:e>
          <m:sub>
            <m:r>
              <w:rPr>
                <w:rFonts w:ascii="Cambria Math" w:eastAsia="SimSun" w:hAnsi="Cambria Math" w:cs="Calibri Light"/>
                <w:lang w:eastAsia="en-GB"/>
              </w:rPr>
              <m:t>0</m:t>
            </m:r>
          </m:sub>
        </m:sSub>
      </m:oMath>
      <w:r w:rsidR="009C58BB">
        <w:rPr>
          <w:rFonts w:ascii="Calibri Light" w:eastAsia="SimSun" w:hAnsi="Calibri Light" w:cs="Calibri Light"/>
          <w:lang w:eastAsia="en-GB"/>
        </w:rPr>
        <w:t xml:space="preserve"> is the intercept or constant term, representing the baseline odds when all independent variables are zero.</w:t>
      </w:r>
    </w:p>
    <w:p w:rsidR="001823E0" w:rsidRDefault="00362FA4">
      <w:pPr>
        <w:pStyle w:val="ListParagraph"/>
        <w:numPr>
          <w:ilvl w:val="1"/>
          <w:numId w:val="1"/>
        </w:numPr>
        <w:spacing w:line="360" w:lineRule="auto"/>
        <w:ind w:left="993"/>
        <w:jc w:val="both"/>
        <w:rPr>
          <w:rFonts w:ascii="Calibri Light" w:hAnsi="Calibri Light" w:cs="Calibri Light"/>
        </w:rPr>
      </w:pPr>
      <m:oMath>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β</m:t>
            </m:r>
          </m:e>
          <m:sub>
            <m:r>
              <w:rPr>
                <w:rFonts w:ascii="Cambria Math" w:eastAsia="Times New Roman" w:hAnsi="Cambria Math" w:cs="Calibri Light"/>
                <w:lang w:eastAsia="en-GB"/>
              </w:rPr>
              <m:t>1</m:t>
            </m:r>
          </m:sub>
        </m:sSub>
      </m:oMath>
      <w:r w:rsidR="009C58BB">
        <w:rPr>
          <w:rFonts w:ascii="Calibri Light" w:eastAsia="SimSun" w:hAnsi="Calibri Light" w:cs="Calibri Light"/>
          <w:lang w:eastAsia="en-GB"/>
        </w:rPr>
        <w:t xml:space="preserve">, </w:t>
      </w:r>
      <m:oMath>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β</m:t>
            </m:r>
          </m:e>
          <m:sub>
            <m:r>
              <w:rPr>
                <w:rFonts w:ascii="Cambria Math" w:eastAsia="Times New Roman" w:hAnsi="Cambria Math" w:cs="Calibri Light"/>
                <w:lang w:eastAsia="en-GB"/>
              </w:rPr>
              <m:t>2</m:t>
            </m:r>
          </m:sub>
        </m:sSub>
      </m:oMath>
      <w:r w:rsidR="009C58BB">
        <w:rPr>
          <w:rFonts w:ascii="Calibri Light" w:eastAsia="SimSun" w:hAnsi="Calibri Light" w:cs="Calibri Light"/>
          <w:lang w:eastAsia="en-GB"/>
        </w:rPr>
        <w:t xml:space="preserve">,…, </w:t>
      </w:r>
      <m:oMath>
        <m:sSub>
          <m:sSubPr>
            <m:ctrlPr>
              <w:rPr>
                <w:rFonts w:ascii="Cambria Math" w:eastAsia="Times New Roman" w:hAnsi="Cambria Math" w:cs="Calibri Light"/>
                <w:i/>
                <w:lang w:eastAsia="en-GB"/>
              </w:rPr>
            </m:ctrlPr>
          </m:sSubPr>
          <m:e>
            <m:r>
              <w:rPr>
                <w:rFonts w:ascii="Cambria Math" w:eastAsia="Times New Roman" w:hAnsi="Cambria Math" w:cs="Calibri Light"/>
                <w:lang w:eastAsia="en-GB"/>
              </w:rPr>
              <m:t>β</m:t>
            </m:r>
          </m:e>
          <m:sub>
            <m:r>
              <w:rPr>
                <w:rFonts w:ascii="Cambria Math" w:eastAsia="Times New Roman" w:hAnsi="Cambria Math" w:cs="Calibri Light"/>
                <w:lang w:eastAsia="en-GB"/>
              </w:rPr>
              <m:t>10</m:t>
            </m:r>
          </m:sub>
        </m:sSub>
      </m:oMath>
      <w:r w:rsidR="009C58BB">
        <w:rPr>
          <w:rFonts w:ascii="Calibri Light" w:hAnsi="Calibri Light" w:cs="Calibri Light"/>
        </w:rPr>
        <w:t xml:space="preserve"> a</w:t>
      </w:r>
      <w:r w:rsidR="009C58BB">
        <w:rPr>
          <w:rFonts w:ascii="Calibri Light" w:eastAsia="SimSun" w:hAnsi="Calibri Light" w:cs="Calibri Light"/>
          <w:lang w:eastAsia="en-GB"/>
        </w:rPr>
        <w:t>re the coefficients representing the effect of each independent variable on the log odds of participating in seaweed farming.</w:t>
      </w:r>
    </w:p>
    <w:p w:rsidR="001823E0" w:rsidRDefault="00362FA4">
      <w:pPr>
        <w:pStyle w:val="ListParagraph"/>
        <w:numPr>
          <w:ilvl w:val="1"/>
          <w:numId w:val="1"/>
        </w:numPr>
        <w:spacing w:line="360" w:lineRule="auto"/>
        <w:ind w:left="993"/>
        <w:jc w:val="both"/>
        <w:rPr>
          <w:rFonts w:ascii="Calibri Light" w:eastAsia="SimSun" w:hAnsi="Calibri Light" w:cs="Calibri Light"/>
          <w:lang w:eastAsia="en-GB"/>
        </w:rPr>
      </w:pPr>
      <m:oMath>
        <m:sSub>
          <m:sSubPr>
            <m:ctrlPr>
              <w:rPr>
                <w:rFonts w:ascii="Cambria Math" w:eastAsia="SimSun" w:hAnsi="Cambria Math" w:cs="Calibri Light"/>
                <w:i/>
                <w:lang w:eastAsia="en-GB"/>
              </w:rPr>
            </m:ctrlPr>
          </m:sSubPr>
          <m:e>
            <m:r>
              <w:rPr>
                <w:rFonts w:ascii="Cambria Math" w:eastAsia="SimSun" w:hAnsi="Cambria Math" w:cs="Calibri Light"/>
                <w:lang w:eastAsia="en-GB"/>
              </w:rPr>
              <m:t>X</m:t>
            </m:r>
          </m:e>
          <m:sub>
            <m:r>
              <w:rPr>
                <w:rFonts w:ascii="Cambria Math" w:eastAsia="SimSun" w:hAnsi="Cambria Math" w:cs="Calibri Light"/>
                <w:lang w:eastAsia="en-GB"/>
              </w:rPr>
              <m:t>1i</m:t>
            </m:r>
          </m:sub>
        </m:sSub>
      </m:oMath>
      <w:r w:rsidR="009C58BB">
        <w:rPr>
          <w:rFonts w:ascii="Calibri Light" w:eastAsia="SimSun" w:hAnsi="Calibri Light" w:cs="Calibri Light"/>
          <w:lang w:eastAsia="en-GB"/>
        </w:rPr>
        <w:t xml:space="preserve">, </w:t>
      </w:r>
      <m:oMath>
        <m:sSub>
          <m:sSubPr>
            <m:ctrlPr>
              <w:rPr>
                <w:rFonts w:ascii="Cambria Math" w:eastAsia="SimSun" w:hAnsi="Cambria Math" w:cs="Calibri Light"/>
                <w:i/>
                <w:lang w:eastAsia="en-GB"/>
              </w:rPr>
            </m:ctrlPr>
          </m:sSubPr>
          <m:e>
            <m:r>
              <w:rPr>
                <w:rFonts w:ascii="Cambria Math" w:eastAsia="SimSun" w:hAnsi="Cambria Math" w:cs="Calibri Light"/>
                <w:lang w:eastAsia="en-GB"/>
              </w:rPr>
              <m:t>X</m:t>
            </m:r>
          </m:e>
          <m:sub>
            <m:r>
              <w:rPr>
                <w:rFonts w:ascii="Cambria Math" w:eastAsia="SimSun" w:hAnsi="Cambria Math" w:cs="Calibri Light"/>
                <w:lang w:eastAsia="en-GB"/>
              </w:rPr>
              <m:t>2i</m:t>
            </m:r>
          </m:sub>
        </m:sSub>
      </m:oMath>
      <w:r w:rsidR="009C58BB">
        <w:rPr>
          <w:rFonts w:ascii="Calibri Light" w:eastAsia="SimSun" w:hAnsi="Calibri Light" w:cs="Calibri Light"/>
          <w:lang w:eastAsia="en-GB"/>
        </w:rPr>
        <w:t xml:space="preserve">,…, </w:t>
      </w:r>
      <m:oMath>
        <m:sSub>
          <m:sSubPr>
            <m:ctrlPr>
              <w:rPr>
                <w:rFonts w:ascii="Cambria Math" w:eastAsia="SimSun" w:hAnsi="Cambria Math" w:cs="Calibri Light"/>
                <w:i/>
                <w:lang w:eastAsia="en-GB"/>
              </w:rPr>
            </m:ctrlPr>
          </m:sSubPr>
          <m:e>
            <m:r>
              <w:rPr>
                <w:rFonts w:ascii="Cambria Math" w:eastAsia="SimSun" w:hAnsi="Cambria Math" w:cs="Calibri Light"/>
                <w:lang w:eastAsia="en-GB"/>
              </w:rPr>
              <m:t>X</m:t>
            </m:r>
          </m:e>
          <m:sub>
            <m:r>
              <w:rPr>
                <w:rFonts w:ascii="Cambria Math" w:eastAsia="SimSun" w:hAnsi="Cambria Math" w:cs="Calibri Light"/>
                <w:lang w:eastAsia="en-GB"/>
              </w:rPr>
              <m:t>10i</m:t>
            </m:r>
          </m:sub>
        </m:sSub>
        <m:r>
          <w:rPr>
            <w:rFonts w:ascii="Cambria Math" w:eastAsia="SimSun" w:hAnsi="Cambria Math" w:cs="Calibri Light"/>
            <w:lang w:eastAsia="en-GB"/>
          </w:rPr>
          <m:t xml:space="preserve"> </m:t>
        </m:r>
      </m:oMath>
      <w:r w:rsidR="009C58BB">
        <w:rPr>
          <w:rFonts w:ascii="Calibri Light" w:eastAsia="SimSun" w:hAnsi="Calibri Light" w:cs="Calibri Light"/>
          <w:lang w:eastAsia="en-GB"/>
        </w:rPr>
        <w:t xml:space="preserve">the independent variables represent the education level, household size, price and marketing, input cost, labor intensity, harvest period, government support, climate change and health issues, and cultural constraints for the </w:t>
      </w:r>
      <w:r w:rsidR="009C58BB">
        <w:rPr>
          <w:rFonts w:ascii="Calibri Light" w:eastAsia="SimSun" w:hAnsi="Calibri Light" w:cs="Calibri Light"/>
          <w:i/>
          <w:iCs/>
          <w:lang w:eastAsia="en-GB"/>
        </w:rPr>
        <w:t>i</w:t>
      </w:r>
      <w:r w:rsidR="009C58BB">
        <w:rPr>
          <w:rFonts w:ascii="Calibri Light" w:eastAsia="SimSun" w:hAnsi="Calibri Light" w:cs="Calibri Light"/>
          <w:i/>
          <w:iCs/>
          <w:vertAlign w:val="superscript"/>
          <w:lang w:eastAsia="en-GB"/>
        </w:rPr>
        <w:t xml:space="preserve">th </w:t>
      </w:r>
      <w:r w:rsidR="009C58BB">
        <w:rPr>
          <w:rFonts w:ascii="Calibri Light" w:eastAsia="SimSun" w:hAnsi="Calibri Light" w:cs="Calibri Light"/>
          <w:lang w:eastAsia="en-GB"/>
        </w:rPr>
        <w:t>man.</w:t>
      </w:r>
    </w:p>
    <w:p w:rsidR="001823E0" w:rsidRDefault="00362FA4">
      <w:pPr>
        <w:pStyle w:val="ListParagraph"/>
        <w:numPr>
          <w:ilvl w:val="1"/>
          <w:numId w:val="1"/>
        </w:numPr>
        <w:spacing w:line="360" w:lineRule="auto"/>
        <w:ind w:left="993"/>
        <w:jc w:val="both"/>
        <w:rPr>
          <w:rFonts w:ascii="Calibri Light" w:eastAsia="SimSun" w:hAnsi="Calibri Light" w:cs="Calibri Light"/>
          <w:lang w:eastAsia="en-GB"/>
        </w:rPr>
      </w:pPr>
      <m:oMath>
        <m:sSub>
          <m:sSubPr>
            <m:ctrlPr>
              <w:rPr>
                <w:rFonts w:ascii="Cambria Math" w:eastAsia="SimSun" w:hAnsi="Cambria Math" w:cs="Calibri Light"/>
                <w:lang w:eastAsia="en-GB"/>
              </w:rPr>
            </m:ctrlPr>
          </m:sSubPr>
          <m:e>
            <m:r>
              <m:rPr>
                <m:sty m:val="p"/>
              </m:rPr>
              <w:rPr>
                <w:rFonts w:ascii="Cambria Math" w:eastAsia="SimSun" w:hAnsi="Cambria Math" w:cs="Calibri Light"/>
                <w:lang w:eastAsia="en-GB"/>
              </w:rPr>
              <m:t>ε​</m:t>
            </m:r>
          </m:e>
          <m:sub>
            <m:r>
              <w:rPr>
                <w:rFonts w:ascii="Cambria Math" w:eastAsia="SimSun" w:hAnsi="Cambria Math" w:cs="Calibri Light"/>
                <w:lang w:eastAsia="en-GB"/>
              </w:rPr>
              <m:t>i</m:t>
            </m:r>
          </m:sub>
        </m:sSub>
        <m:r>
          <w:rPr>
            <w:rFonts w:ascii="Cambria Math" w:eastAsia="SimSun" w:hAnsi="Cambria Math" w:cs="Calibri Light"/>
            <w:lang w:eastAsia="en-GB"/>
          </w:rPr>
          <m:t xml:space="preserve"> </m:t>
        </m:r>
      </m:oMath>
      <w:r w:rsidR="009C58BB">
        <w:rPr>
          <w:rFonts w:ascii="Calibri Light" w:eastAsia="SimSun" w:hAnsi="Calibri Light" w:cs="Calibri Light"/>
          <w:lang w:eastAsia="en-GB"/>
        </w:rPr>
        <w:t xml:space="preserve">is the error term, capturing the variation in the decision to participate in seaweed farming that is not explained by the independent variables.  </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Data and Description of Variables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The description of the variables used in the analysis framework is provided in Table 1.</w:t>
      </w:r>
    </w:p>
    <w:p w:rsidR="001823E0" w:rsidRDefault="009C58BB">
      <w:pPr>
        <w:pStyle w:val="NormalWeb"/>
        <w:spacing w:line="360" w:lineRule="auto"/>
        <w:rPr>
          <w:rFonts w:ascii="Calibri Light" w:hAnsi="Calibri Light" w:cs="Calibri Light"/>
          <w:b/>
          <w:lang w:val="en-US" w:eastAsia="en-US"/>
        </w:rPr>
      </w:pPr>
      <w:r>
        <w:rPr>
          <w:rFonts w:ascii="Calibri Light" w:hAnsi="Calibri Light" w:cs="Calibri Light"/>
          <w:b/>
        </w:rPr>
        <w:t xml:space="preserve">Table 1: Description and Measurement of Variables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0"/>
        <w:gridCol w:w="3104"/>
        <w:gridCol w:w="1108"/>
        <w:gridCol w:w="2645"/>
        <w:gridCol w:w="933"/>
      </w:tblGrid>
      <w:tr w:rsidR="001823E0">
        <w:trPr>
          <w:tblHeader/>
          <w:tblCellSpacing w:w="15" w:type="dxa"/>
        </w:trPr>
        <w:tc>
          <w:tcPr>
            <w:tcW w:w="0" w:type="auto"/>
            <w:tcBorders>
              <w:top w:val="single" w:sz="4" w:space="0" w:color="auto"/>
              <w:bottom w:val="single" w:sz="4" w:space="0" w:color="auto"/>
            </w:tcBorders>
            <w:vAlign w:val="center"/>
            <w:hideMark/>
          </w:tcPr>
          <w:p w:rsidR="001823E0" w:rsidRDefault="009C58BB">
            <w:pPr>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Variable</w:t>
            </w:r>
          </w:p>
        </w:tc>
        <w:tc>
          <w:tcPr>
            <w:tcW w:w="0" w:type="auto"/>
            <w:tcBorders>
              <w:top w:val="single" w:sz="4" w:space="0" w:color="auto"/>
              <w:bottom w:val="single" w:sz="4" w:space="0" w:color="auto"/>
            </w:tcBorders>
            <w:vAlign w:val="center"/>
            <w:hideMark/>
          </w:tcPr>
          <w:p w:rsidR="001823E0" w:rsidRDefault="009C58BB">
            <w:pPr>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Description</w:t>
            </w:r>
          </w:p>
        </w:tc>
        <w:tc>
          <w:tcPr>
            <w:tcW w:w="0" w:type="auto"/>
            <w:tcBorders>
              <w:top w:val="single" w:sz="4" w:space="0" w:color="auto"/>
              <w:bottom w:val="single" w:sz="4" w:space="0" w:color="auto"/>
            </w:tcBorders>
            <w:vAlign w:val="center"/>
            <w:hideMark/>
          </w:tcPr>
          <w:p w:rsidR="001823E0" w:rsidRDefault="009C58BB">
            <w:pPr>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Type of Variable</w:t>
            </w:r>
          </w:p>
        </w:tc>
        <w:tc>
          <w:tcPr>
            <w:tcW w:w="0" w:type="auto"/>
            <w:tcBorders>
              <w:top w:val="single" w:sz="4" w:space="0" w:color="auto"/>
              <w:bottom w:val="single" w:sz="4" w:space="0" w:color="auto"/>
            </w:tcBorders>
            <w:vAlign w:val="center"/>
            <w:hideMark/>
          </w:tcPr>
          <w:p w:rsidR="001823E0" w:rsidRDefault="009C58BB">
            <w:pPr>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Measurement</w:t>
            </w:r>
          </w:p>
        </w:tc>
        <w:tc>
          <w:tcPr>
            <w:tcW w:w="0" w:type="auto"/>
            <w:tcBorders>
              <w:top w:val="single" w:sz="4" w:space="0" w:color="auto"/>
              <w:bottom w:val="single" w:sz="4" w:space="0" w:color="auto"/>
            </w:tcBorders>
            <w:vAlign w:val="center"/>
            <w:hideMark/>
          </w:tcPr>
          <w:p w:rsidR="001823E0" w:rsidRDefault="009C58BB">
            <w:pPr>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Expected Sign</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Intercept</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The constant term in the regression equation</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Continuous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N/A</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Education level</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Level of formal education attained by men involved in seaweed farming</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Categorical</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1 = No formal education, 2 = Primary, 3 = Secondary, 4 = Tertiary</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Positive (+)</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lastRenderedPageBreak/>
              <w:t>Household size</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Number of people in a household</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Continuous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Number of household members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Positive (+)</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Price and marketing</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The availability of the market and the pricing for seaweed products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Categorical</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1 = Poor, 2 = Fair, 3 = Good</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Positive (+)</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Input cost</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The cost involved in purchasing inputs for seaweed farming</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Continuous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Amount of money spent on inputs (Tanzanian Shillings)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Negative (-)</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Labour intensity</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The level of effort and labor required for seaweed farming</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Continuous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Measured in hours or difficulty rating</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Negative (-)</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Harvest period</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The length of time taken to harvest seaweed</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Continuous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Measured in months or weeks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Negative (-)</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Government support</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Assistance provided by the government (financial, training, etc.)</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Continuous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Measured by support score or assistance level</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Positive (+)</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Climate change and health issues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The effect of climate change on seaweed farming and related health concerns</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Binary</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0 = No impact, 1 = Significant impact</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Negative (-)</w:t>
            </w:r>
          </w:p>
        </w:tc>
      </w:tr>
      <w:tr w:rsidR="001823E0">
        <w:trPr>
          <w:tblCellSpacing w:w="15" w:type="dxa"/>
        </w:trPr>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b/>
                <w:bCs/>
                <w:sz w:val="20"/>
                <w:szCs w:val="20"/>
              </w:rPr>
              <w:t>Cultural constraint</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The influence of cultural factors restricting men’s participation in seaweed farming</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Categorical</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1 = No constraint, 2 = Some constraint, 3 = High constraint</w:t>
            </w:r>
          </w:p>
        </w:tc>
        <w:tc>
          <w:tcPr>
            <w:tcW w:w="0" w:type="auto"/>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Negative (-)</w:t>
            </w:r>
          </w:p>
        </w:tc>
      </w:tr>
      <w:tr w:rsidR="001823E0">
        <w:trPr>
          <w:tblCellSpacing w:w="15" w:type="dxa"/>
        </w:trPr>
        <w:tc>
          <w:tcPr>
            <w:tcW w:w="0" w:type="auto"/>
            <w:tcBorders>
              <w:bottom w:val="single" w:sz="4" w:space="0" w:color="auto"/>
            </w:tcBorders>
            <w:vAlign w:val="center"/>
          </w:tcPr>
          <w:p w:rsidR="001823E0" w:rsidRDefault="009C58BB">
            <w:pPr>
              <w:spacing w:after="0" w:line="240" w:lineRule="auto"/>
              <w:rPr>
                <w:rFonts w:ascii="Calibri Light" w:eastAsia="Times New Roman" w:hAnsi="Calibri Light" w:cs="Calibri Light"/>
                <w:b/>
                <w:bCs/>
                <w:sz w:val="20"/>
                <w:szCs w:val="20"/>
              </w:rPr>
            </w:pPr>
            <w:r>
              <w:rPr>
                <w:rFonts w:ascii="Calibri Light" w:eastAsia="Times New Roman" w:hAnsi="Calibri Light" w:cs="Calibri Light"/>
                <w:b/>
                <w:bCs/>
                <w:sz w:val="20"/>
                <w:szCs w:val="20"/>
              </w:rPr>
              <w:t>Men’s participation</w:t>
            </w:r>
          </w:p>
        </w:tc>
        <w:tc>
          <w:tcPr>
            <w:tcW w:w="0" w:type="auto"/>
            <w:tcBorders>
              <w:bottom w:val="single" w:sz="4" w:space="0" w:color="auto"/>
            </w:tcBorders>
            <w:vAlign w:val="center"/>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The possibility of men participating in seaweed farming</w:t>
            </w:r>
          </w:p>
        </w:tc>
        <w:tc>
          <w:tcPr>
            <w:tcW w:w="0" w:type="auto"/>
            <w:tcBorders>
              <w:bottom w:val="single" w:sz="4" w:space="0" w:color="auto"/>
            </w:tcBorders>
            <w:vAlign w:val="center"/>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Binary</w:t>
            </w:r>
          </w:p>
        </w:tc>
        <w:tc>
          <w:tcPr>
            <w:tcW w:w="0" w:type="auto"/>
            <w:tcBorders>
              <w:bottom w:val="single" w:sz="4" w:space="0" w:color="auto"/>
            </w:tcBorders>
            <w:vAlign w:val="center"/>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1 =participate, and 0 =otherwise</w:t>
            </w:r>
          </w:p>
        </w:tc>
        <w:tc>
          <w:tcPr>
            <w:tcW w:w="0" w:type="auto"/>
            <w:tcBorders>
              <w:bottom w:val="single" w:sz="4" w:space="0" w:color="auto"/>
            </w:tcBorders>
            <w:vAlign w:val="center"/>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NA</w:t>
            </w:r>
          </w:p>
        </w:tc>
      </w:tr>
    </w:tbl>
    <w:p w:rsidR="001823E0" w:rsidRDefault="009C58BB">
      <w:pPr>
        <w:spacing w:line="360" w:lineRule="auto"/>
        <w:jc w:val="both"/>
        <w:rPr>
          <w:rFonts w:ascii="Calibri Light" w:hAnsi="Calibri Light" w:cs="Calibri Light"/>
          <w:bCs/>
          <w:i/>
          <w:sz w:val="24"/>
          <w:szCs w:val="24"/>
        </w:rPr>
      </w:pPr>
      <w:r>
        <w:rPr>
          <w:rFonts w:ascii="Calibri Light" w:hAnsi="Calibri Light" w:cs="Calibri Light"/>
          <w:bCs/>
          <w:i/>
          <w:sz w:val="24"/>
          <w:szCs w:val="24"/>
        </w:rPr>
        <w:t>Source: Study construction, 2024</w:t>
      </w:r>
    </w:p>
    <w:p w:rsidR="001823E0" w:rsidRDefault="009C58BB">
      <w:pPr>
        <w:spacing w:line="360" w:lineRule="auto"/>
        <w:rPr>
          <w:rFonts w:ascii="Calibri Light" w:hAnsi="Calibri Light" w:cs="Calibri Light"/>
          <w:b/>
          <w:sz w:val="24"/>
          <w:szCs w:val="24"/>
        </w:rPr>
      </w:pPr>
      <w:r>
        <w:rPr>
          <w:rFonts w:ascii="Calibri Light" w:hAnsi="Calibri Light" w:cs="Calibri Light"/>
          <w:b/>
          <w:sz w:val="24"/>
          <w:szCs w:val="24"/>
        </w:rPr>
        <w:t>Results and Discussion</w:t>
      </w:r>
    </w:p>
    <w:p w:rsidR="001823E0" w:rsidRDefault="009C58BB">
      <w:pPr>
        <w:spacing w:line="360" w:lineRule="auto"/>
        <w:rPr>
          <w:rFonts w:ascii="Calibri Light" w:hAnsi="Calibri Light" w:cs="Calibri Light"/>
          <w:b/>
          <w:sz w:val="24"/>
          <w:szCs w:val="24"/>
        </w:rPr>
      </w:pPr>
      <w:r>
        <w:rPr>
          <w:rFonts w:ascii="Calibri Light" w:hAnsi="Calibri Light" w:cs="Calibri Light"/>
          <w:b/>
          <w:sz w:val="24"/>
          <w:szCs w:val="24"/>
        </w:rPr>
        <w:t>Demographic profile of the surveyed respondents</w:t>
      </w:r>
    </w:p>
    <w:p w:rsidR="001823E0" w:rsidRDefault="009C58BB">
      <w:pPr>
        <w:spacing w:line="360" w:lineRule="auto"/>
        <w:jc w:val="both"/>
        <w:rPr>
          <w:rFonts w:ascii="Calibri Light" w:hAnsi="Calibri Light" w:cs="Calibri Light"/>
          <w:bCs/>
          <w:sz w:val="24"/>
          <w:szCs w:val="24"/>
        </w:rPr>
      </w:pPr>
      <w:r>
        <w:rPr>
          <w:rFonts w:ascii="Calibri Light" w:hAnsi="Calibri Light" w:cs="Calibri Light"/>
          <w:bCs/>
          <w:sz w:val="24"/>
          <w:szCs w:val="24"/>
        </w:rPr>
        <w:t>Table 2 provides a demographic profile of the surveyed men, covering variables such as age, marital status, education level, and household size. These characteristics are essential for understanding the context of the sample involved in seaweed farming. The table highlights the distribution across these variables, which informs the analysis of participation in the study area.</w:t>
      </w:r>
    </w:p>
    <w:p w:rsidR="001823E0" w:rsidRDefault="009C58BB">
      <w:pPr>
        <w:spacing w:after="0" w:line="360" w:lineRule="auto"/>
        <w:jc w:val="both"/>
        <w:rPr>
          <w:rFonts w:ascii="Calibri Light" w:hAnsi="Calibri Light" w:cs="Calibri Light"/>
          <w:b/>
          <w:sz w:val="24"/>
          <w:szCs w:val="24"/>
        </w:rPr>
      </w:pPr>
      <w:r>
        <w:rPr>
          <w:rFonts w:ascii="Calibri Light" w:hAnsi="Calibri Light" w:cs="Calibri Light"/>
          <w:b/>
          <w:sz w:val="24"/>
          <w:szCs w:val="24"/>
        </w:rPr>
        <w:t>Table 2: Demographic profile of the surveyed respondents</w:t>
      </w:r>
    </w:p>
    <w:tbl>
      <w:tblPr>
        <w:tblW w:w="5000" w:type="pct"/>
        <w:tblLook w:val="04A0" w:firstRow="1" w:lastRow="0" w:firstColumn="1" w:lastColumn="0" w:noHBand="0" w:noVBand="1"/>
      </w:tblPr>
      <w:tblGrid>
        <w:gridCol w:w="3335"/>
        <w:gridCol w:w="2337"/>
        <w:gridCol w:w="1952"/>
        <w:gridCol w:w="1952"/>
      </w:tblGrid>
      <w:tr w:rsidR="001823E0">
        <w:trPr>
          <w:trHeight w:val="300"/>
        </w:trPr>
        <w:tc>
          <w:tcPr>
            <w:tcW w:w="1741" w:type="pct"/>
            <w:tcBorders>
              <w:top w:val="single" w:sz="4" w:space="0" w:color="auto"/>
              <w:bottom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Variable</w:t>
            </w:r>
          </w:p>
        </w:tc>
        <w:tc>
          <w:tcPr>
            <w:tcW w:w="1220" w:type="pct"/>
            <w:tcBorders>
              <w:top w:val="single" w:sz="4" w:space="0" w:color="auto"/>
              <w:bottom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Category</w:t>
            </w:r>
          </w:p>
        </w:tc>
        <w:tc>
          <w:tcPr>
            <w:tcW w:w="1019" w:type="pct"/>
            <w:tcBorders>
              <w:top w:val="single" w:sz="4" w:space="0" w:color="auto"/>
              <w:bottom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Frequency</w:t>
            </w:r>
          </w:p>
        </w:tc>
        <w:tc>
          <w:tcPr>
            <w:tcW w:w="1019" w:type="pct"/>
            <w:tcBorders>
              <w:top w:val="single" w:sz="4" w:space="0" w:color="auto"/>
              <w:bottom w:val="single" w:sz="4" w:space="0" w:color="auto"/>
            </w:tcBorders>
            <w:shd w:val="clear" w:color="auto" w:fill="auto"/>
            <w:noWrap/>
            <w:vAlign w:val="center"/>
            <w:hideMark/>
          </w:tcPr>
          <w:p w:rsidR="001823E0" w:rsidRDefault="009C58BB">
            <w:pPr>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Percent</w:t>
            </w:r>
          </w:p>
        </w:tc>
      </w:tr>
      <w:tr w:rsidR="001823E0">
        <w:trPr>
          <w:trHeight w:val="300"/>
        </w:trPr>
        <w:tc>
          <w:tcPr>
            <w:tcW w:w="1741" w:type="pct"/>
            <w:tcBorders>
              <w:top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Age</w:t>
            </w:r>
          </w:p>
        </w:tc>
        <w:tc>
          <w:tcPr>
            <w:tcW w:w="1220" w:type="pct"/>
            <w:tcBorders>
              <w:top w:val="single" w:sz="4" w:space="0" w:color="auto"/>
            </w:tcBorders>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18 to 25</w:t>
            </w:r>
          </w:p>
        </w:tc>
        <w:tc>
          <w:tcPr>
            <w:tcW w:w="1019" w:type="pct"/>
            <w:tcBorders>
              <w:top w:val="single" w:sz="4" w:space="0" w:color="auto"/>
            </w:tcBorders>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13</w:t>
            </w:r>
          </w:p>
        </w:tc>
        <w:tc>
          <w:tcPr>
            <w:tcW w:w="1019" w:type="pct"/>
            <w:tcBorders>
              <w:top w:val="single" w:sz="4" w:space="0" w:color="auto"/>
            </w:tcBorders>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9</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26 to 33</w:t>
            </w:r>
          </w:p>
        </w:tc>
        <w:tc>
          <w:tcPr>
            <w:tcW w:w="1019" w:type="pct"/>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53</w:t>
            </w:r>
          </w:p>
        </w:tc>
        <w:tc>
          <w:tcPr>
            <w:tcW w:w="1019" w:type="pct"/>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35</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34 to 41</w:t>
            </w:r>
          </w:p>
        </w:tc>
        <w:tc>
          <w:tcPr>
            <w:tcW w:w="1019" w:type="pct"/>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65</w:t>
            </w:r>
          </w:p>
        </w:tc>
        <w:tc>
          <w:tcPr>
            <w:tcW w:w="1019" w:type="pct"/>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43</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tcBorders>
              <w:bottom w:val="single" w:sz="4" w:space="0" w:color="auto"/>
            </w:tcBorders>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≥50</w:t>
            </w:r>
          </w:p>
        </w:tc>
        <w:tc>
          <w:tcPr>
            <w:tcW w:w="1019" w:type="pct"/>
            <w:tcBorders>
              <w:bottom w:val="single" w:sz="4" w:space="0" w:color="auto"/>
            </w:tcBorders>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19</w:t>
            </w:r>
          </w:p>
        </w:tc>
        <w:tc>
          <w:tcPr>
            <w:tcW w:w="1019" w:type="pct"/>
            <w:tcBorders>
              <w:bottom w:val="single" w:sz="4" w:space="0" w:color="auto"/>
            </w:tcBorders>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13</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Marital status</w:t>
            </w:r>
          </w:p>
        </w:tc>
        <w:tc>
          <w:tcPr>
            <w:tcW w:w="1220" w:type="pct"/>
            <w:tcBorders>
              <w:top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Single</w:t>
            </w:r>
          </w:p>
        </w:tc>
        <w:tc>
          <w:tcPr>
            <w:tcW w:w="1019" w:type="pct"/>
            <w:tcBorders>
              <w:top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17</w:t>
            </w:r>
          </w:p>
        </w:tc>
        <w:tc>
          <w:tcPr>
            <w:tcW w:w="1019" w:type="pct"/>
            <w:tcBorders>
              <w:top w:val="single" w:sz="4" w:space="0" w:color="auto"/>
            </w:tcBorders>
            <w:shd w:val="clear" w:color="auto" w:fill="auto"/>
            <w:noWrap/>
            <w:vAlign w:val="center"/>
            <w:hideMark/>
          </w:tcPr>
          <w:p w:rsidR="001823E0" w:rsidRDefault="009C58BB">
            <w:pPr>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11</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Married</w:t>
            </w:r>
          </w:p>
        </w:tc>
        <w:tc>
          <w:tcPr>
            <w:tcW w:w="1019"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103</w:t>
            </w:r>
          </w:p>
        </w:tc>
        <w:tc>
          <w:tcPr>
            <w:tcW w:w="1019" w:type="pct"/>
            <w:shd w:val="clear" w:color="auto" w:fill="auto"/>
            <w:noWrap/>
            <w:vAlign w:val="center"/>
            <w:hideMark/>
          </w:tcPr>
          <w:p w:rsidR="001823E0" w:rsidRDefault="009C58BB">
            <w:pPr>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69</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Widowed</w:t>
            </w:r>
          </w:p>
        </w:tc>
        <w:tc>
          <w:tcPr>
            <w:tcW w:w="1019"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9</w:t>
            </w:r>
          </w:p>
        </w:tc>
        <w:tc>
          <w:tcPr>
            <w:tcW w:w="1019" w:type="pct"/>
            <w:shd w:val="clear" w:color="auto" w:fill="auto"/>
            <w:noWrap/>
            <w:vAlign w:val="center"/>
            <w:hideMark/>
          </w:tcPr>
          <w:p w:rsidR="001823E0" w:rsidRDefault="009C58BB">
            <w:pPr>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6</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tcBorders>
              <w:bottom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Divorced</w:t>
            </w:r>
          </w:p>
        </w:tc>
        <w:tc>
          <w:tcPr>
            <w:tcW w:w="1019" w:type="pct"/>
            <w:tcBorders>
              <w:bottom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21</w:t>
            </w:r>
          </w:p>
        </w:tc>
        <w:tc>
          <w:tcPr>
            <w:tcW w:w="1019" w:type="pct"/>
            <w:tcBorders>
              <w:bottom w:val="single" w:sz="4" w:space="0" w:color="auto"/>
            </w:tcBorders>
            <w:shd w:val="clear" w:color="auto" w:fill="auto"/>
            <w:noWrap/>
            <w:vAlign w:val="center"/>
            <w:hideMark/>
          </w:tcPr>
          <w:p w:rsidR="001823E0" w:rsidRDefault="009C58BB">
            <w:pPr>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14</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Education</w:t>
            </w:r>
          </w:p>
        </w:tc>
        <w:tc>
          <w:tcPr>
            <w:tcW w:w="1220" w:type="pct"/>
            <w:tcBorders>
              <w:top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Informal</w:t>
            </w:r>
          </w:p>
        </w:tc>
        <w:tc>
          <w:tcPr>
            <w:tcW w:w="1019" w:type="pct"/>
            <w:tcBorders>
              <w:top w:val="single" w:sz="4" w:space="0" w:color="auto"/>
            </w:tcBorders>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8</w:t>
            </w:r>
          </w:p>
        </w:tc>
        <w:tc>
          <w:tcPr>
            <w:tcW w:w="1019" w:type="pct"/>
            <w:tcBorders>
              <w:top w:val="single" w:sz="4" w:space="0" w:color="auto"/>
            </w:tcBorders>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5</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lastRenderedPageBreak/>
              <w:t> </w:t>
            </w:r>
          </w:p>
        </w:tc>
        <w:tc>
          <w:tcPr>
            <w:tcW w:w="1220"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Primary</w:t>
            </w:r>
          </w:p>
        </w:tc>
        <w:tc>
          <w:tcPr>
            <w:tcW w:w="1019" w:type="pct"/>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95</w:t>
            </w:r>
          </w:p>
        </w:tc>
        <w:tc>
          <w:tcPr>
            <w:tcW w:w="1019" w:type="pct"/>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63</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Secondary</w:t>
            </w:r>
          </w:p>
        </w:tc>
        <w:tc>
          <w:tcPr>
            <w:tcW w:w="1019" w:type="pct"/>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38</w:t>
            </w:r>
          </w:p>
        </w:tc>
        <w:tc>
          <w:tcPr>
            <w:tcW w:w="1019" w:type="pct"/>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25</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tcBorders>
              <w:bottom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College</w:t>
            </w:r>
          </w:p>
        </w:tc>
        <w:tc>
          <w:tcPr>
            <w:tcW w:w="1019" w:type="pct"/>
            <w:tcBorders>
              <w:bottom w:val="single" w:sz="4" w:space="0" w:color="auto"/>
            </w:tcBorders>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9</w:t>
            </w:r>
          </w:p>
        </w:tc>
        <w:tc>
          <w:tcPr>
            <w:tcW w:w="1019" w:type="pct"/>
            <w:tcBorders>
              <w:bottom w:val="single" w:sz="4" w:space="0" w:color="auto"/>
            </w:tcBorders>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6</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Household size</w:t>
            </w:r>
          </w:p>
        </w:tc>
        <w:tc>
          <w:tcPr>
            <w:tcW w:w="1220" w:type="pct"/>
            <w:tcBorders>
              <w:top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1 to 3</w:t>
            </w:r>
          </w:p>
        </w:tc>
        <w:tc>
          <w:tcPr>
            <w:tcW w:w="1019" w:type="pct"/>
            <w:tcBorders>
              <w:top w:val="single" w:sz="4" w:space="0" w:color="auto"/>
            </w:tcBorders>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14</w:t>
            </w:r>
          </w:p>
        </w:tc>
        <w:tc>
          <w:tcPr>
            <w:tcW w:w="1019" w:type="pct"/>
            <w:tcBorders>
              <w:top w:val="single" w:sz="4" w:space="0" w:color="auto"/>
            </w:tcBorders>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9</w:t>
            </w:r>
          </w:p>
        </w:tc>
      </w:tr>
      <w:tr w:rsidR="001823E0">
        <w:trPr>
          <w:trHeight w:val="300"/>
        </w:trPr>
        <w:tc>
          <w:tcPr>
            <w:tcW w:w="1741"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4 to 6</w:t>
            </w:r>
          </w:p>
        </w:tc>
        <w:tc>
          <w:tcPr>
            <w:tcW w:w="1019" w:type="pct"/>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98</w:t>
            </w:r>
          </w:p>
        </w:tc>
        <w:tc>
          <w:tcPr>
            <w:tcW w:w="1019" w:type="pct"/>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65</w:t>
            </w:r>
          </w:p>
        </w:tc>
      </w:tr>
      <w:tr w:rsidR="001823E0">
        <w:trPr>
          <w:trHeight w:val="300"/>
        </w:trPr>
        <w:tc>
          <w:tcPr>
            <w:tcW w:w="1741" w:type="pct"/>
            <w:tcBorders>
              <w:bottom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 </w:t>
            </w:r>
          </w:p>
        </w:tc>
        <w:tc>
          <w:tcPr>
            <w:tcW w:w="1220" w:type="pct"/>
            <w:tcBorders>
              <w:bottom w:val="single" w:sz="4" w:space="0" w:color="auto"/>
            </w:tcBorders>
            <w:shd w:val="clear" w:color="auto" w:fill="auto"/>
            <w:noWrap/>
            <w:vAlign w:val="center"/>
            <w:hideMark/>
          </w:tcPr>
          <w:p w:rsidR="001823E0" w:rsidRDefault="009C58BB">
            <w:pPr>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7 to 10</w:t>
            </w:r>
          </w:p>
        </w:tc>
        <w:tc>
          <w:tcPr>
            <w:tcW w:w="1019" w:type="pct"/>
            <w:tcBorders>
              <w:bottom w:val="single" w:sz="4" w:space="0" w:color="auto"/>
            </w:tcBorders>
            <w:shd w:val="clear" w:color="auto" w:fill="auto"/>
            <w:noWrap/>
            <w:vAlign w:val="center"/>
            <w:hideMark/>
          </w:tcPr>
          <w:p w:rsidR="001823E0" w:rsidRDefault="009C58BB">
            <w:pPr>
              <w:spacing w:line="240" w:lineRule="auto"/>
              <w:rPr>
                <w:rFonts w:ascii="Calibri Light" w:hAnsi="Calibri Light" w:cs="Calibri Light"/>
                <w:sz w:val="20"/>
                <w:szCs w:val="20"/>
              </w:rPr>
            </w:pPr>
            <w:r>
              <w:rPr>
                <w:rFonts w:ascii="Calibri Light" w:hAnsi="Calibri Light" w:cs="Calibri Light"/>
                <w:sz w:val="20"/>
                <w:szCs w:val="20"/>
              </w:rPr>
              <w:t>38</w:t>
            </w:r>
          </w:p>
        </w:tc>
        <w:tc>
          <w:tcPr>
            <w:tcW w:w="1019" w:type="pct"/>
            <w:tcBorders>
              <w:bottom w:val="single" w:sz="4" w:space="0" w:color="auto"/>
            </w:tcBorders>
            <w:shd w:val="clear" w:color="auto" w:fill="auto"/>
            <w:noWrap/>
            <w:vAlign w:val="center"/>
            <w:hideMark/>
          </w:tcPr>
          <w:p w:rsidR="001823E0" w:rsidRDefault="009C58BB">
            <w:pPr>
              <w:spacing w:line="240" w:lineRule="auto"/>
              <w:jc w:val="right"/>
              <w:rPr>
                <w:rFonts w:ascii="Calibri Light" w:hAnsi="Calibri Light" w:cs="Calibri Light"/>
                <w:sz w:val="20"/>
                <w:szCs w:val="20"/>
              </w:rPr>
            </w:pPr>
            <w:r>
              <w:rPr>
                <w:rFonts w:ascii="Calibri Light" w:hAnsi="Calibri Light" w:cs="Calibri Light"/>
                <w:sz w:val="20"/>
                <w:szCs w:val="20"/>
              </w:rPr>
              <w:t>25</w:t>
            </w:r>
          </w:p>
        </w:tc>
      </w:tr>
    </w:tbl>
    <w:p w:rsidR="001823E0" w:rsidRDefault="009C58BB">
      <w:pPr>
        <w:spacing w:line="360" w:lineRule="auto"/>
        <w:rPr>
          <w:rFonts w:ascii="Calibri Light" w:hAnsi="Calibri Light" w:cs="Calibri Light"/>
          <w:i/>
          <w:sz w:val="24"/>
          <w:szCs w:val="24"/>
        </w:rPr>
      </w:pPr>
      <w:r>
        <w:rPr>
          <w:rFonts w:ascii="Calibri Light" w:hAnsi="Calibri Light" w:cs="Calibri Light"/>
          <w:b/>
          <w:i/>
          <w:sz w:val="24"/>
          <w:szCs w:val="24"/>
        </w:rPr>
        <w:t>Source</w:t>
      </w:r>
      <w:r>
        <w:rPr>
          <w:rFonts w:ascii="Calibri Light" w:hAnsi="Calibri Light" w:cs="Calibri Light"/>
          <w:i/>
          <w:sz w:val="24"/>
          <w:szCs w:val="24"/>
        </w:rPr>
        <w:t>: Field Data, (2024)</w:t>
      </w:r>
    </w:p>
    <w:p w:rsidR="001823E0" w:rsidRDefault="009C58BB">
      <w:pPr>
        <w:spacing w:before="120" w:after="120" w:line="360" w:lineRule="auto"/>
        <w:jc w:val="both"/>
        <w:rPr>
          <w:rFonts w:ascii="Calibri Light" w:eastAsia="Times New Roman" w:hAnsi="Calibri Light" w:cs="Calibri Light"/>
          <w:b/>
          <w:bCs/>
          <w:sz w:val="24"/>
          <w:szCs w:val="24"/>
        </w:rPr>
      </w:pPr>
      <w:r>
        <w:rPr>
          <w:rFonts w:ascii="Calibri Light" w:eastAsia="Times New Roman" w:hAnsi="Calibri Light" w:cs="Calibri Light"/>
          <w:b/>
          <w:bCs/>
          <w:sz w:val="24"/>
          <w:szCs w:val="24"/>
        </w:rPr>
        <w:t>Age</w:t>
      </w:r>
    </w:p>
    <w:p w:rsidR="001823E0" w:rsidRDefault="009C58BB">
      <w:pPr>
        <w:spacing w:after="0" w:line="360" w:lineRule="auto"/>
        <w:jc w:val="both"/>
        <w:rPr>
          <w:rFonts w:ascii="Calibri Light" w:eastAsia="Times New Roman" w:hAnsi="Calibri Light" w:cs="Calibri Light"/>
          <w:sz w:val="24"/>
          <w:szCs w:val="24"/>
        </w:rPr>
      </w:pPr>
      <w:bookmarkStart w:id="12" w:name="_Hlk180411120"/>
      <w:r>
        <w:rPr>
          <w:rFonts w:ascii="Calibri Light" w:eastAsia="Times New Roman" w:hAnsi="Calibri Light" w:cs="Calibri Light"/>
          <w:sz w:val="24"/>
          <w:szCs w:val="24"/>
        </w:rPr>
        <w:t>The survey found that 43% of respondents are between 34 and 41 years old, indicating that most seaweed farmers were relatively mature. This suggests that these individuals may have more experience and greater access to resources for investing in seaweed farming. The lower participation rate of younger men (9%) may indicate a lack of interest in or access to seaweed farming as a livelihood strategy. Research indicates that younger farmers are often more open to adopting new practices, while older farmers may prefer traditional methods (FAO, 2014). In contrast, in this study, the predominance of mature individuals in seaweed farming could imply a preference for stability and traditional methods over experimentation, as maturity often brings a more cautious approach to new technologies. This aligns with findings in other agricultural sectors, where matured people dominate, such as maize farming, where matured individuals are more active and productive (Utonga, 2022). The presence of mature farmers in seaweed farming suggests they may see it as a stable, sustainable livelihood due to their access to resources and experience.</w:t>
      </w:r>
    </w:p>
    <w:bookmarkEnd w:id="12"/>
    <w:p w:rsidR="001823E0" w:rsidRDefault="009C58BB">
      <w:pPr>
        <w:spacing w:before="100" w:beforeAutospacing="1" w:after="100" w:afterAutospacing="1" w:line="360" w:lineRule="auto"/>
        <w:jc w:val="both"/>
        <w:rPr>
          <w:rFonts w:ascii="Calibri Light" w:eastAsia="Times New Roman" w:hAnsi="Calibri Light" w:cs="Calibri Light"/>
          <w:b/>
          <w:bCs/>
          <w:sz w:val="24"/>
          <w:szCs w:val="24"/>
        </w:rPr>
      </w:pPr>
      <w:r>
        <w:rPr>
          <w:rFonts w:ascii="Calibri Light" w:eastAsia="Times New Roman" w:hAnsi="Calibri Light" w:cs="Calibri Light"/>
          <w:b/>
          <w:bCs/>
          <w:sz w:val="24"/>
          <w:szCs w:val="24"/>
        </w:rPr>
        <w:t>Marital Status</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The fact that 69% of the respondents are married suggests that family responsibilities may play an important role while engaging in seaweed farming. The engagement of married individuals in seaweed farming highlights the influence of family responsibilities on this livelihood. Seaweed farming is a crucial income source for families, often involving both spouses to enhance household income and ensure subsistence (Apura, 2022).</w:t>
      </w:r>
    </w:p>
    <w:p w:rsidR="001823E0" w:rsidRDefault="009C58BB">
      <w:pPr>
        <w:spacing w:before="100" w:beforeAutospacing="1" w:after="100" w:afterAutospacing="1" w:line="360" w:lineRule="auto"/>
        <w:jc w:val="both"/>
        <w:rPr>
          <w:rFonts w:ascii="Calibri Light" w:eastAsia="Times New Roman" w:hAnsi="Calibri Light" w:cs="Calibri Light"/>
          <w:b/>
          <w:bCs/>
          <w:sz w:val="24"/>
          <w:szCs w:val="24"/>
        </w:rPr>
      </w:pPr>
      <w:r>
        <w:rPr>
          <w:rFonts w:ascii="Calibri Light" w:eastAsia="Times New Roman" w:hAnsi="Calibri Light" w:cs="Calibri Light"/>
          <w:b/>
          <w:bCs/>
          <w:sz w:val="24"/>
          <w:szCs w:val="24"/>
        </w:rPr>
        <w:t>Education Level</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lastRenderedPageBreak/>
        <w:t>A significant share of respondents, 63%, only attained primary education, which could be a potential barrier to embracing modern farming techniques or accessing market information. The low levels of education may restrict men’s involvement in seaweed farming. Studies show that increased years of education significantly reduce adherence to traditional gender norms, particularly the belief that men should be the primary breadwinners (Ralsmark, 2017). Additionally, higher levels of education provide opportunities to influence decision-making and participation (Kilamlya &amp; Utonga, 2024). The small percentage of respondents with secondary or college education, 31%, indicates a need for educational initiatives that could improve the skills of potential farmers.</w:t>
      </w:r>
    </w:p>
    <w:p w:rsidR="001823E0" w:rsidRDefault="009C58BB">
      <w:pPr>
        <w:spacing w:before="100" w:beforeAutospacing="1" w:after="100" w:afterAutospacing="1" w:line="360" w:lineRule="auto"/>
        <w:jc w:val="both"/>
        <w:rPr>
          <w:rFonts w:ascii="Calibri Light" w:eastAsia="Times New Roman" w:hAnsi="Calibri Light" w:cs="Calibri Light"/>
          <w:b/>
          <w:bCs/>
          <w:sz w:val="24"/>
          <w:szCs w:val="24"/>
        </w:rPr>
      </w:pPr>
      <w:r>
        <w:rPr>
          <w:rFonts w:ascii="Calibri Light" w:eastAsia="Times New Roman" w:hAnsi="Calibri Light" w:cs="Calibri Light"/>
          <w:b/>
          <w:bCs/>
          <w:sz w:val="24"/>
          <w:szCs w:val="24"/>
        </w:rPr>
        <w:t>Household Size</w:t>
      </w:r>
    </w:p>
    <w:p w:rsidR="001823E0" w:rsidRDefault="009C58BB">
      <w:pPr>
        <w:spacing w:before="100" w:beforeAutospacing="1" w:after="100" w:afterAutospacing="1" w:line="360" w:lineRule="auto"/>
        <w:jc w:val="both"/>
        <w:rPr>
          <w:rFonts w:ascii="Calibri Light" w:hAnsi="Calibri Light" w:cs="Calibri Light"/>
          <w:iCs/>
          <w:sz w:val="24"/>
          <w:szCs w:val="24"/>
        </w:rPr>
      </w:pPr>
      <w:r>
        <w:rPr>
          <w:rFonts w:ascii="Calibri Light" w:eastAsia="Times New Roman" w:hAnsi="Calibri Light" w:cs="Calibri Light"/>
          <w:sz w:val="24"/>
          <w:szCs w:val="24"/>
        </w:rPr>
        <w:t>The majority of respondents, 65%, come from households with 4 to 6 members, suggesting that economic pressures may influence their decision to participate in seaweed farming. In larger households, there may be a greater need for financial resources, leading men to pursue more immediate and profitable job opportunities instead of investing in seaweed farming. This observation aligns with research indicating that Families with more members may prioritize essential needs over extracurricular participation, leading to reduced engagement in activities perceived as less beneficial (Hjalmarsson, 2022). This lower return can discourage investment in activities that do not yield significant benefits, as families may opt for more impactful opportunities instead.</w:t>
      </w:r>
    </w:p>
    <w:p w:rsidR="001823E0" w:rsidRDefault="009C58BB">
      <w:pPr>
        <w:spacing w:before="120" w:after="120" w:line="360" w:lineRule="auto"/>
        <w:outlineLvl w:val="2"/>
        <w:rPr>
          <w:rFonts w:ascii="Calibri Light" w:eastAsia="Times New Roman" w:hAnsi="Calibri Light" w:cs="Calibri Light"/>
          <w:b/>
          <w:bCs/>
          <w:sz w:val="27"/>
          <w:szCs w:val="27"/>
        </w:rPr>
      </w:pPr>
      <w:r>
        <w:rPr>
          <w:rFonts w:ascii="Calibri Light" w:eastAsia="Times New Roman" w:hAnsi="Calibri Light" w:cs="Calibri Light"/>
          <w:b/>
          <w:bCs/>
          <w:sz w:val="27"/>
          <w:szCs w:val="27"/>
        </w:rPr>
        <w:t>Men’s participation in seaweed farming</w:t>
      </w:r>
    </w:p>
    <w:p w:rsidR="001823E0" w:rsidRDefault="009C58BB">
      <w:pPr>
        <w:spacing w:before="240" w:line="360" w:lineRule="auto"/>
        <w:jc w:val="both"/>
        <w:rPr>
          <w:rFonts w:ascii="Calibri Light" w:hAnsi="Calibri Light" w:cs="Calibri Light"/>
          <w:sz w:val="24"/>
          <w:szCs w:val="24"/>
        </w:rPr>
      </w:pPr>
      <w:r>
        <w:rPr>
          <w:rFonts w:ascii="Calibri Light" w:hAnsi="Calibri Light" w:cs="Calibri Light"/>
          <w:sz w:val="24"/>
          <w:szCs w:val="24"/>
        </w:rPr>
        <w:t>Table 3 summarizes the results of men’s participation in seaweed farming, showing their involvement across various aspects. The table presents variables such as engagement in seaweed farming, farm size, preferred farming methods, and sources of capital for farming. Each aspect highlights the scope of men’s participation in the sector.</w:t>
      </w:r>
    </w:p>
    <w:p w:rsidR="001823E0" w:rsidRDefault="009C58BB">
      <w:pPr>
        <w:rPr>
          <w:rFonts w:ascii="Calibri Light" w:hAnsi="Calibri Light" w:cs="Calibri Light"/>
          <w:b/>
          <w:sz w:val="24"/>
          <w:szCs w:val="24"/>
        </w:rPr>
      </w:pPr>
      <w:r>
        <w:rPr>
          <w:rFonts w:ascii="Calibri Light" w:hAnsi="Calibri Light" w:cs="Calibri Light"/>
          <w:b/>
          <w:sz w:val="24"/>
          <w:szCs w:val="24"/>
        </w:rPr>
        <w:t>Table 3:</w:t>
      </w:r>
      <w:commentRangeStart w:id="13"/>
      <w:r>
        <w:rPr>
          <w:rFonts w:ascii="Calibri Light" w:hAnsi="Calibri Light" w:cs="Calibri Light"/>
          <w:b/>
          <w:sz w:val="24"/>
          <w:szCs w:val="24"/>
        </w:rPr>
        <w:t xml:space="preserve"> Characteristics of respondents about seaweed farming</w:t>
      </w:r>
      <w:commentRangeEnd w:id="13"/>
      <w:r w:rsidR="00756027">
        <w:rPr>
          <w:rStyle w:val="CommentReference"/>
        </w:rPr>
        <w:commentReference w:id="13"/>
      </w:r>
    </w:p>
    <w:tbl>
      <w:tblPr>
        <w:tblW w:w="5000" w:type="pct"/>
        <w:tblLook w:val="04A0" w:firstRow="1" w:lastRow="0" w:firstColumn="1" w:lastColumn="0" w:noHBand="0" w:noVBand="1"/>
      </w:tblPr>
      <w:tblGrid>
        <w:gridCol w:w="3593"/>
        <w:gridCol w:w="2486"/>
        <w:gridCol w:w="1381"/>
        <w:gridCol w:w="2116"/>
      </w:tblGrid>
      <w:tr w:rsidR="001823E0">
        <w:trPr>
          <w:trHeight w:val="300"/>
        </w:trPr>
        <w:tc>
          <w:tcPr>
            <w:tcW w:w="1876" w:type="pct"/>
            <w:tcBorders>
              <w:top w:val="single" w:sz="4" w:space="0" w:color="auto"/>
              <w:bottom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Variable</w:t>
            </w:r>
          </w:p>
        </w:tc>
        <w:tc>
          <w:tcPr>
            <w:tcW w:w="1298" w:type="pct"/>
            <w:tcBorders>
              <w:top w:val="single" w:sz="4" w:space="0" w:color="auto"/>
              <w:bottom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Category</w:t>
            </w:r>
          </w:p>
        </w:tc>
        <w:tc>
          <w:tcPr>
            <w:tcW w:w="721" w:type="pct"/>
            <w:tcBorders>
              <w:top w:val="single" w:sz="4" w:space="0" w:color="auto"/>
              <w:bottom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Frequency</w:t>
            </w:r>
          </w:p>
        </w:tc>
        <w:tc>
          <w:tcPr>
            <w:tcW w:w="1105" w:type="pct"/>
            <w:tcBorders>
              <w:top w:val="single" w:sz="4" w:space="0" w:color="auto"/>
              <w:bottom w:val="single" w:sz="4" w:space="0" w:color="auto"/>
            </w:tcBorders>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Percent</w:t>
            </w:r>
          </w:p>
        </w:tc>
      </w:tr>
      <w:tr w:rsidR="001823E0">
        <w:trPr>
          <w:trHeight w:val="300"/>
        </w:trPr>
        <w:tc>
          <w:tcPr>
            <w:tcW w:w="1876" w:type="pct"/>
            <w:tcBorders>
              <w:top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Do you practice seaweed farming?</w:t>
            </w:r>
          </w:p>
        </w:tc>
        <w:tc>
          <w:tcPr>
            <w:tcW w:w="1298" w:type="pct"/>
            <w:tcBorders>
              <w:top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Yes</w:t>
            </w:r>
          </w:p>
        </w:tc>
        <w:tc>
          <w:tcPr>
            <w:tcW w:w="721" w:type="pct"/>
            <w:tcBorders>
              <w:top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33</w:t>
            </w:r>
          </w:p>
        </w:tc>
        <w:tc>
          <w:tcPr>
            <w:tcW w:w="1105" w:type="pct"/>
            <w:tcBorders>
              <w:top w:val="single" w:sz="4" w:space="0" w:color="auto"/>
            </w:tcBorders>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22</w:t>
            </w:r>
          </w:p>
        </w:tc>
      </w:tr>
      <w:tr w:rsidR="001823E0">
        <w:trPr>
          <w:trHeight w:val="300"/>
        </w:trPr>
        <w:tc>
          <w:tcPr>
            <w:tcW w:w="1876"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 </w:t>
            </w:r>
          </w:p>
        </w:tc>
        <w:tc>
          <w:tcPr>
            <w:tcW w:w="1298" w:type="pct"/>
            <w:shd w:val="clear" w:color="auto" w:fill="auto"/>
            <w:noWrap/>
            <w:vAlign w:val="bottom"/>
            <w:hideMark/>
          </w:tcPr>
          <w:p w:rsidR="001823E0" w:rsidRDefault="00AF473B">
            <w:pPr>
              <w:spacing w:after="0" w:line="240" w:lineRule="auto"/>
              <w:rPr>
                <w:rFonts w:ascii="Calibri Light" w:eastAsia="Times New Roman" w:hAnsi="Calibri Light" w:cs="Calibri Light"/>
              </w:rPr>
            </w:pPr>
            <w:r>
              <w:rPr>
                <w:rFonts w:ascii="Calibri Light" w:eastAsia="Times New Roman" w:hAnsi="Calibri Light" w:cs="Calibri Light"/>
              </w:rPr>
              <w:t>N</w:t>
            </w:r>
            <w:r w:rsidR="009C58BB">
              <w:rPr>
                <w:rFonts w:ascii="Calibri Light" w:eastAsia="Times New Roman" w:hAnsi="Calibri Light" w:cs="Calibri Light"/>
              </w:rPr>
              <w:t>o</w:t>
            </w:r>
          </w:p>
        </w:tc>
        <w:tc>
          <w:tcPr>
            <w:tcW w:w="721"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117</w:t>
            </w:r>
          </w:p>
        </w:tc>
        <w:tc>
          <w:tcPr>
            <w:tcW w:w="1105" w:type="pct"/>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78</w:t>
            </w:r>
          </w:p>
        </w:tc>
      </w:tr>
      <w:tr w:rsidR="001823E0">
        <w:trPr>
          <w:trHeight w:val="300"/>
        </w:trPr>
        <w:tc>
          <w:tcPr>
            <w:tcW w:w="1876"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Acres of the seaweed farm</w:t>
            </w:r>
          </w:p>
        </w:tc>
        <w:tc>
          <w:tcPr>
            <w:tcW w:w="1298"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1 to 2</w:t>
            </w:r>
          </w:p>
        </w:tc>
        <w:tc>
          <w:tcPr>
            <w:tcW w:w="721"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28</w:t>
            </w:r>
          </w:p>
        </w:tc>
        <w:tc>
          <w:tcPr>
            <w:tcW w:w="1105" w:type="pct"/>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85</w:t>
            </w:r>
          </w:p>
        </w:tc>
      </w:tr>
      <w:tr w:rsidR="001823E0">
        <w:trPr>
          <w:trHeight w:val="300"/>
        </w:trPr>
        <w:tc>
          <w:tcPr>
            <w:tcW w:w="1876"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 </w:t>
            </w:r>
          </w:p>
        </w:tc>
        <w:tc>
          <w:tcPr>
            <w:tcW w:w="1298"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3 to 4</w:t>
            </w:r>
          </w:p>
        </w:tc>
        <w:tc>
          <w:tcPr>
            <w:tcW w:w="721"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5</w:t>
            </w:r>
          </w:p>
        </w:tc>
        <w:tc>
          <w:tcPr>
            <w:tcW w:w="1105" w:type="pct"/>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15</w:t>
            </w:r>
          </w:p>
        </w:tc>
      </w:tr>
      <w:tr w:rsidR="001823E0">
        <w:trPr>
          <w:trHeight w:val="300"/>
        </w:trPr>
        <w:tc>
          <w:tcPr>
            <w:tcW w:w="1876"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lastRenderedPageBreak/>
              <w:t>Preferable methods of farming</w:t>
            </w:r>
          </w:p>
        </w:tc>
        <w:tc>
          <w:tcPr>
            <w:tcW w:w="1298"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Deepwater</w:t>
            </w:r>
          </w:p>
        </w:tc>
        <w:tc>
          <w:tcPr>
            <w:tcW w:w="721"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0</w:t>
            </w:r>
          </w:p>
        </w:tc>
        <w:tc>
          <w:tcPr>
            <w:tcW w:w="1105" w:type="pct"/>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0</w:t>
            </w:r>
          </w:p>
        </w:tc>
      </w:tr>
      <w:tr w:rsidR="001823E0">
        <w:trPr>
          <w:trHeight w:val="300"/>
        </w:trPr>
        <w:tc>
          <w:tcPr>
            <w:tcW w:w="1876"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 </w:t>
            </w:r>
          </w:p>
        </w:tc>
        <w:tc>
          <w:tcPr>
            <w:tcW w:w="1298"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Off-bottom</w:t>
            </w:r>
          </w:p>
        </w:tc>
        <w:tc>
          <w:tcPr>
            <w:tcW w:w="721"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33</w:t>
            </w:r>
          </w:p>
        </w:tc>
        <w:tc>
          <w:tcPr>
            <w:tcW w:w="1105" w:type="pct"/>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100</w:t>
            </w:r>
          </w:p>
        </w:tc>
      </w:tr>
      <w:tr w:rsidR="001823E0">
        <w:trPr>
          <w:trHeight w:val="300"/>
        </w:trPr>
        <w:tc>
          <w:tcPr>
            <w:tcW w:w="1876"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Source of capital and farming inputs</w:t>
            </w:r>
          </w:p>
        </w:tc>
        <w:tc>
          <w:tcPr>
            <w:tcW w:w="1298"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Household savings</w:t>
            </w:r>
          </w:p>
        </w:tc>
        <w:tc>
          <w:tcPr>
            <w:tcW w:w="721"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20</w:t>
            </w:r>
          </w:p>
        </w:tc>
        <w:tc>
          <w:tcPr>
            <w:tcW w:w="1105" w:type="pct"/>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61</w:t>
            </w:r>
          </w:p>
        </w:tc>
      </w:tr>
      <w:tr w:rsidR="001823E0">
        <w:trPr>
          <w:trHeight w:val="300"/>
        </w:trPr>
        <w:tc>
          <w:tcPr>
            <w:tcW w:w="1876"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 </w:t>
            </w:r>
          </w:p>
        </w:tc>
        <w:tc>
          <w:tcPr>
            <w:tcW w:w="1298"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Support from relatives</w:t>
            </w:r>
          </w:p>
        </w:tc>
        <w:tc>
          <w:tcPr>
            <w:tcW w:w="721" w:type="pct"/>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5</w:t>
            </w:r>
          </w:p>
        </w:tc>
        <w:tc>
          <w:tcPr>
            <w:tcW w:w="1105" w:type="pct"/>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15</w:t>
            </w:r>
          </w:p>
        </w:tc>
      </w:tr>
      <w:tr w:rsidR="001823E0">
        <w:trPr>
          <w:trHeight w:val="300"/>
        </w:trPr>
        <w:tc>
          <w:tcPr>
            <w:tcW w:w="1876" w:type="pct"/>
            <w:tcBorders>
              <w:bottom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 </w:t>
            </w:r>
          </w:p>
        </w:tc>
        <w:tc>
          <w:tcPr>
            <w:tcW w:w="1298" w:type="pct"/>
            <w:tcBorders>
              <w:bottom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Credits from MFIs</w:t>
            </w:r>
          </w:p>
        </w:tc>
        <w:tc>
          <w:tcPr>
            <w:tcW w:w="721" w:type="pct"/>
            <w:tcBorders>
              <w:bottom w:val="single" w:sz="4" w:space="0" w:color="auto"/>
            </w:tcBorders>
            <w:shd w:val="clear" w:color="auto" w:fill="auto"/>
            <w:noWrap/>
            <w:vAlign w:val="bottom"/>
            <w:hideMark/>
          </w:tcPr>
          <w:p w:rsidR="001823E0" w:rsidRDefault="009C58BB">
            <w:pPr>
              <w:spacing w:after="0" w:line="240" w:lineRule="auto"/>
              <w:rPr>
                <w:rFonts w:ascii="Calibri Light" w:eastAsia="Times New Roman" w:hAnsi="Calibri Light" w:cs="Calibri Light"/>
              </w:rPr>
            </w:pPr>
            <w:r>
              <w:rPr>
                <w:rFonts w:ascii="Calibri Light" w:eastAsia="Times New Roman" w:hAnsi="Calibri Light" w:cs="Calibri Light"/>
              </w:rPr>
              <w:t>8</w:t>
            </w:r>
          </w:p>
        </w:tc>
        <w:tc>
          <w:tcPr>
            <w:tcW w:w="1105" w:type="pct"/>
            <w:tcBorders>
              <w:bottom w:val="single" w:sz="4" w:space="0" w:color="auto"/>
            </w:tcBorders>
            <w:shd w:val="clear" w:color="auto" w:fill="auto"/>
            <w:noWrap/>
            <w:vAlign w:val="bottom"/>
            <w:hideMark/>
          </w:tcPr>
          <w:p w:rsidR="001823E0" w:rsidRDefault="009C58BB">
            <w:pPr>
              <w:spacing w:after="0" w:line="240" w:lineRule="auto"/>
              <w:jc w:val="right"/>
              <w:rPr>
                <w:rFonts w:ascii="Calibri Light" w:eastAsia="Times New Roman" w:hAnsi="Calibri Light" w:cs="Calibri Light"/>
              </w:rPr>
            </w:pPr>
            <w:r>
              <w:rPr>
                <w:rFonts w:ascii="Calibri Light" w:eastAsia="Times New Roman" w:hAnsi="Calibri Light" w:cs="Calibri Light"/>
              </w:rPr>
              <w:t>24</w:t>
            </w:r>
          </w:p>
        </w:tc>
      </w:tr>
    </w:tbl>
    <w:p w:rsidR="001823E0" w:rsidRDefault="009C58BB">
      <w:pPr>
        <w:spacing w:line="360" w:lineRule="auto"/>
        <w:rPr>
          <w:rFonts w:ascii="Calibri Light" w:hAnsi="Calibri Light" w:cs="Calibri Light"/>
          <w:i/>
          <w:sz w:val="24"/>
          <w:szCs w:val="24"/>
        </w:rPr>
      </w:pPr>
      <w:r>
        <w:rPr>
          <w:rFonts w:ascii="Calibri Light" w:hAnsi="Calibri Light" w:cs="Calibri Light"/>
          <w:b/>
          <w:i/>
          <w:sz w:val="24"/>
          <w:szCs w:val="24"/>
        </w:rPr>
        <w:t>Source</w:t>
      </w:r>
      <w:r>
        <w:rPr>
          <w:rFonts w:ascii="Calibri Light" w:hAnsi="Calibri Light" w:cs="Calibri Light"/>
          <w:i/>
          <w:sz w:val="24"/>
          <w:szCs w:val="24"/>
        </w:rPr>
        <w:t xml:space="preserve">: </w:t>
      </w:r>
      <w:r>
        <w:rPr>
          <w:rFonts w:ascii="Calibri Light" w:hAnsi="Calibri Light" w:cs="Calibri Light"/>
          <w:iCs/>
          <w:sz w:val="24"/>
          <w:szCs w:val="24"/>
        </w:rPr>
        <w:t>Field Data</w:t>
      </w:r>
      <w:r>
        <w:rPr>
          <w:rFonts w:ascii="Calibri Light" w:hAnsi="Calibri Light" w:cs="Calibri Light"/>
          <w:i/>
          <w:sz w:val="24"/>
          <w:szCs w:val="24"/>
        </w:rPr>
        <w:t>, (2024)</w:t>
      </w:r>
    </w:p>
    <w:p w:rsidR="001823E0" w:rsidRDefault="009C58BB">
      <w:pPr>
        <w:spacing w:before="100" w:beforeAutospacing="1" w:after="100" w:afterAutospacing="1" w:line="360" w:lineRule="auto"/>
        <w:jc w:val="both"/>
        <w:rPr>
          <w:rFonts w:ascii="Calibri Light" w:eastAsia="Times New Roman" w:hAnsi="Calibri Light" w:cs="Calibri Light"/>
          <w:b/>
          <w:sz w:val="24"/>
          <w:szCs w:val="24"/>
        </w:rPr>
      </w:pPr>
      <w:r>
        <w:rPr>
          <w:rFonts w:ascii="Calibri Light" w:eastAsia="Times New Roman" w:hAnsi="Calibri Light" w:cs="Calibri Light"/>
          <w:b/>
          <w:bCs/>
          <w:sz w:val="24"/>
          <w:szCs w:val="24"/>
        </w:rPr>
        <w:t>Participation Rates</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 xml:space="preserve">The data in Table 3 indicates that only 22% of respondents are involved in seaweed farming, while 78% are not. This difference suggests that obstacles prevent men from participating in this activity, and interventions are necessary. The low participation rate of 22% among men in seaweed farming is a concern and indicates the presence of socio-cultural and economic barriers. This aligns with research showing that traditional gender roles significantly discourage men from engaging in activities typically associated with women, creating psychological and cultural barriers (Croft </w:t>
      </w:r>
      <w:r>
        <w:rPr>
          <w:rFonts w:ascii="Calibri Light" w:eastAsia="Times New Roman" w:hAnsi="Calibri Light" w:cs="Calibri Light"/>
          <w:i/>
          <w:iCs/>
          <w:sz w:val="24"/>
          <w:szCs w:val="24"/>
        </w:rPr>
        <w:t>et al.,</w:t>
      </w:r>
      <w:r>
        <w:rPr>
          <w:rFonts w:ascii="Calibri Light" w:eastAsia="Times New Roman" w:hAnsi="Calibri Light" w:cs="Calibri Light"/>
          <w:sz w:val="24"/>
          <w:szCs w:val="24"/>
        </w:rPr>
        <w:t xml:space="preserve"> 2015). This can be associated with seaweed farming. </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 xml:space="preserve">Also, Msuya </w:t>
      </w:r>
      <w:r>
        <w:rPr>
          <w:rFonts w:ascii="Calibri Light" w:eastAsia="Times New Roman" w:hAnsi="Calibri Light" w:cs="Calibri Light"/>
          <w:i/>
          <w:iCs/>
          <w:sz w:val="24"/>
          <w:szCs w:val="24"/>
        </w:rPr>
        <w:t>et al.</w:t>
      </w:r>
      <w:r>
        <w:rPr>
          <w:rFonts w:ascii="Calibri Light" w:eastAsia="Times New Roman" w:hAnsi="Calibri Light" w:cs="Calibri Light"/>
          <w:sz w:val="24"/>
          <w:szCs w:val="24"/>
        </w:rPr>
        <w:t xml:space="preserve"> (2022) highlight that economic factors exacerbate this issue, including limited access to financial resources and market opportunities. Their study found that men often prioritize other livelihood strategies perceived as more profitable or socially acceptable, leading to low participation in seaweed farming. Moreover, stakeholders lack experiential knowledge about seaweed farming, leading to misconceptions and hesitance to invest (Kosichek </w:t>
      </w:r>
      <w:commentRangeStart w:id="14"/>
      <w:r>
        <w:rPr>
          <w:rFonts w:ascii="Calibri Light" w:eastAsia="Times New Roman" w:hAnsi="Calibri Light" w:cs="Calibri Light"/>
          <w:sz w:val="24"/>
          <w:szCs w:val="24"/>
        </w:rPr>
        <w:t xml:space="preserve">et al., </w:t>
      </w:r>
      <w:commentRangeEnd w:id="14"/>
      <w:r w:rsidR="00AF473B">
        <w:rPr>
          <w:rStyle w:val="CommentReference"/>
        </w:rPr>
        <w:commentReference w:id="14"/>
      </w:r>
      <w:r>
        <w:rPr>
          <w:rFonts w:ascii="Calibri Light" w:eastAsia="Times New Roman" w:hAnsi="Calibri Light" w:cs="Calibri Light"/>
          <w:sz w:val="24"/>
          <w:szCs w:val="24"/>
        </w:rPr>
        <w:t>2024). Many men may lack information about the profitability and sustainability of this activity, contributing to low participation rates.</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The findings indicate that seaweed farming is mostly considered a female-dominated sector, which aligns with gender role theory. According to this theory, men might avoid taking part in activities perceived as 'women's work' due to the fear of social stigma or ridicule. These results demonstrate the deeply rooted gender norms determining suitable work for men in Zanzibar. Traditional beliefs may discourage men from getting involved in seaweed farming, as it is often associated with women's domestic roles. It is crucial to address these gender norms through community education and advocacy to encourage inclusivity in this livelihood.</w:t>
      </w:r>
    </w:p>
    <w:p w:rsidR="001823E0" w:rsidRDefault="009C58BB">
      <w:pPr>
        <w:spacing w:before="100" w:beforeAutospacing="1" w:after="100" w:afterAutospacing="1" w:line="360" w:lineRule="auto"/>
        <w:jc w:val="both"/>
        <w:rPr>
          <w:rFonts w:ascii="Calibri Light" w:eastAsia="Times New Roman" w:hAnsi="Calibri Light" w:cs="Calibri Light"/>
          <w:b/>
          <w:sz w:val="24"/>
          <w:szCs w:val="24"/>
        </w:rPr>
      </w:pPr>
      <w:commentRangeStart w:id="15"/>
      <w:r>
        <w:rPr>
          <w:rFonts w:ascii="Calibri Light" w:eastAsia="Times New Roman" w:hAnsi="Calibri Light" w:cs="Calibri Light"/>
          <w:b/>
          <w:bCs/>
          <w:sz w:val="24"/>
          <w:szCs w:val="24"/>
        </w:rPr>
        <w:t>Land Usage</w:t>
      </w:r>
      <w:commentRangeEnd w:id="15"/>
      <w:r w:rsidR="008000AA">
        <w:rPr>
          <w:rStyle w:val="CommentReference"/>
        </w:rPr>
        <w:commentReference w:id="15"/>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lastRenderedPageBreak/>
        <w:t>The data presented in Table 3 shows that 85% of farmers operate on 1 to 2 acres, while only 15% farm on 3 to 4 acres. This indicates limited investment in seaweed farming and potentially low economic returns, contributing to the low participation rate. Most seaweed farmers operating on 1 to 2 acres suggest limited economic viability and scalability. With 85% of farmers on smaller plots, this could reflect economic constraints or perceived risks associated with larger investments.</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This finding is consistent with Mbunda and Ndunguru (2024), who observed that small land holdings often result in lower production levels and reduced income potential. They argue that the limited scale of operations can impede the economic sustainability of seaweed farming, leading to a cycle of low investment and participation. Additionally, Agholoret al. (2023) emphasize that smallholder farmers often face challenges in access to markets and resources. This condition makes transitioning from subsistence to more commercially viable farming practices difficult.</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From a livelihood perspective, the limited acreage may indicate low returns, leading men to seek alternative employment in more traditionally masculine sectors like fishing or construction. Efforts to enhance productivity, such as training in better farming techniques, could improve income potential and attract more men to seaweed farming.</w:t>
      </w:r>
    </w:p>
    <w:p w:rsidR="001823E0" w:rsidRDefault="009C58BB">
      <w:pPr>
        <w:spacing w:before="100" w:beforeAutospacing="1" w:after="100" w:afterAutospacing="1" w:line="360" w:lineRule="auto"/>
        <w:jc w:val="both"/>
        <w:rPr>
          <w:rFonts w:ascii="Calibri Light" w:eastAsia="Times New Roman" w:hAnsi="Calibri Light" w:cs="Calibri Light"/>
          <w:b/>
          <w:sz w:val="24"/>
          <w:szCs w:val="24"/>
        </w:rPr>
      </w:pPr>
      <w:commentRangeStart w:id="16"/>
      <w:r>
        <w:rPr>
          <w:rFonts w:ascii="Calibri Light" w:eastAsia="Times New Roman" w:hAnsi="Calibri Light" w:cs="Calibri Light"/>
          <w:b/>
          <w:bCs/>
          <w:sz w:val="24"/>
          <w:szCs w:val="24"/>
        </w:rPr>
        <w:t>Farming Methods</w:t>
      </w:r>
      <w:commentRangeEnd w:id="16"/>
      <w:r w:rsidR="00A71428">
        <w:rPr>
          <w:rStyle w:val="CommentReference"/>
        </w:rPr>
        <w:commentReference w:id="16"/>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 xml:space="preserve">The data in Table 3 reveals that all respondents engaged in seaweed farming 100% prefer off-bottom farming methods, indicating a lack of interest in deep-water techniques. The preference for off-bottom farming methods over deep-water techniques in aquaculture can be attributed to several factors, including accessibility, skill levels, and perceptions of feasibility. Farmers often favour methods that allow for easier management and maintenance, which are typically found in shallower waters. </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Simone and Vopel (2023) supported this, noting that off-bottom farming methods are generally located in coastal areas, making them more accessible for daily operations and maintenance. In addition, (Ibid) identified that the infrastructure in coastal regions supports easier setup and operation of off-bottom systems compared to deep-water farms. Also, the absence of deep-</w:t>
      </w:r>
      <w:r>
        <w:rPr>
          <w:rFonts w:ascii="Calibri Light" w:eastAsia="Times New Roman" w:hAnsi="Calibri Light" w:cs="Calibri Light"/>
          <w:sz w:val="24"/>
          <w:szCs w:val="24"/>
        </w:rPr>
        <w:lastRenderedPageBreak/>
        <w:t xml:space="preserve">water techniques among local farmers highlights the need for targeted education and training programs to enhance their skill sets. This need is supported by the findings of Utonga </w:t>
      </w:r>
      <w:commentRangeStart w:id="17"/>
      <w:r>
        <w:rPr>
          <w:rFonts w:ascii="Calibri Light" w:eastAsia="Times New Roman" w:hAnsi="Calibri Light" w:cs="Calibri Light"/>
          <w:sz w:val="24"/>
          <w:szCs w:val="24"/>
        </w:rPr>
        <w:t xml:space="preserve">et al. </w:t>
      </w:r>
      <w:commentRangeEnd w:id="17"/>
      <w:r w:rsidR="00A71428">
        <w:rPr>
          <w:rStyle w:val="CommentReference"/>
        </w:rPr>
        <w:commentReference w:id="17"/>
      </w:r>
      <w:r>
        <w:rPr>
          <w:rFonts w:ascii="Calibri Light" w:eastAsia="Times New Roman" w:hAnsi="Calibri Light" w:cs="Calibri Light"/>
          <w:sz w:val="24"/>
          <w:szCs w:val="24"/>
        </w:rPr>
        <w:t>(2023), which demonstrate a positive relationship between education and the adoption of farming practices. Farmers can explore a wider range of diverse and potentially productive farming methods by improving their education.</w:t>
      </w:r>
    </w:p>
    <w:p w:rsidR="001823E0" w:rsidRDefault="009C58BB">
      <w:pPr>
        <w:spacing w:before="100" w:beforeAutospacing="1" w:after="100" w:afterAutospacing="1"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The findings related to farming methods closely align with the Livelihoods Framework, which emphasizes the importance of various assets that individuals utilize to achieve sustainable livelihoods. This framework categorizes these assets into five types: natural, physical, human, financial, and social capital. The preference for off-bottom farming may also relate to economic considerations. Off-bottom farming methods generally require less specialized equipment and technology than deep-water systems. This lower financial barrier can be crucial for farmers with limited resources, allowing them to participate in seaweed farming without incurring significant debt. Access to microfinance and credit facilities can further support farmers in diversifying their farming techniques (Mbunda, 2024) and promote efforts to alleviate poverty (Kilamlya &amp; Utonga, 2024).</w:t>
      </w:r>
    </w:p>
    <w:p w:rsidR="001823E0" w:rsidRDefault="009C58BB">
      <w:pPr>
        <w:spacing w:before="100" w:beforeAutospacing="1" w:after="100" w:afterAutospacing="1" w:line="360" w:lineRule="auto"/>
        <w:jc w:val="both"/>
        <w:rPr>
          <w:rFonts w:ascii="Calibri Light" w:eastAsia="Times New Roman" w:hAnsi="Calibri Light" w:cs="Calibri Light"/>
          <w:b/>
          <w:sz w:val="24"/>
          <w:szCs w:val="24"/>
        </w:rPr>
      </w:pPr>
      <w:r>
        <w:rPr>
          <w:rFonts w:ascii="Calibri Light" w:eastAsia="Times New Roman" w:hAnsi="Calibri Light" w:cs="Calibri Light"/>
          <w:b/>
          <w:bCs/>
          <w:sz w:val="24"/>
          <w:szCs w:val="24"/>
        </w:rPr>
        <w:t>Capital and Input Sources</w:t>
      </w:r>
    </w:p>
    <w:p w:rsidR="001823E0" w:rsidRDefault="009C58BB">
      <w:pPr>
        <w:spacing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 xml:space="preserve">The findings presented in Table 3 highlight the predominant reliance on household savings as the primary source of capital for farming, with 61% of respondents indicating this as their main financial resource. In contrast, only 15% receive support from relatives, while 24% utilize microfinance institutions (MFIs) credits. This reliance on personal savings may indicate limited access to external funding sources, which could further constrain the participation and expansion of seaweed farming activities. </w:t>
      </w:r>
    </w:p>
    <w:p w:rsidR="001823E0" w:rsidRDefault="009C58BB">
      <w:pPr>
        <w:spacing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 xml:space="preserve">The significant dependence on household savings, coupled with the low support from relatives and MFIs, suggests a lack of access to broader financial resources, a common challenge smallholder farmers face. This lack of access to financing is echoed in previous research. For instance, Mbuga (2019) emphasizes the struggles of small-scale farmers in securing adequate financing, which limits their capacity to invest in more productive farming techniques. Similarly, AfriDev Economic Consulting Limited (2021) notes that limited access to credit facilities </w:t>
      </w:r>
      <w:r>
        <w:rPr>
          <w:rFonts w:ascii="Calibri Light" w:eastAsia="Times New Roman" w:hAnsi="Calibri Light" w:cs="Calibri Light"/>
          <w:sz w:val="24"/>
          <w:szCs w:val="24"/>
        </w:rPr>
        <w:lastRenderedPageBreak/>
        <w:t xml:space="preserve">contributes to the underdevelopment of seaweed farming in Zanzibar. This may lead farmers not to afford essential inputs or expand their farms. </w:t>
      </w:r>
    </w:p>
    <w:p w:rsidR="001823E0" w:rsidRDefault="009C58BB">
      <w:pPr>
        <w:spacing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Furthermore, the low percentage of support from relatives and MFIs indicates additional barriers to accessing credit and financial assistance. These barriers may include stringent lending criteria, lack of collateral, and insufficient awareness about available financial products. Financial institutions often hesitate to lend to smallholder farmers due to perceived risks associated with credit defaults and inadequate collateral of these borrowers (Balana &amp; Oyeyemi, 2022; Nadew &amp; Senapathy, 2022). This may lead to underinvestment and stagnation in the productivity and growth of these farmers.</w:t>
      </w:r>
    </w:p>
    <w:p w:rsidR="001823E0" w:rsidRDefault="009C58BB">
      <w:pPr>
        <w:spacing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Analysing this situation through the lens of the Livelihoods Framework emphasizes the critical role of various forms of capital in enhancing the sustainability of livelihoods. The heavy reliance on household savings suggests that many farmers face constraints in accessing external funding sources, severely restricting their ability to invest in necessary inputs vital for successful seaweed farming, such as seeds, equipment, and technology. Farmers with limited financial capital may be unable to expand their operations or innovate farming practices, ultimately hindering productivity and income potential (Ashley &amp; Carney, 1999).</w:t>
      </w:r>
    </w:p>
    <w:p w:rsidR="001823E0" w:rsidRDefault="009C58BB">
      <w:pPr>
        <w:spacing w:line="360" w:lineRule="auto"/>
        <w:jc w:val="both"/>
        <w:rPr>
          <w:rFonts w:ascii="Calibri Light" w:hAnsi="Calibri Light" w:cs="Calibri Light"/>
          <w:b/>
          <w:sz w:val="24"/>
          <w:szCs w:val="24"/>
        </w:rPr>
      </w:pPr>
      <w:r>
        <w:rPr>
          <w:rFonts w:ascii="Calibri Light" w:hAnsi="Calibri Light" w:cs="Calibri Light"/>
          <w:b/>
          <w:sz w:val="24"/>
          <w:szCs w:val="24"/>
        </w:rPr>
        <w:t>Determinants influencing men's participation in seaweed farming</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The logistic regression model assessed the factors influencing men's involvement in seaweed farming in the study area. The model produced a log-likelihood of -82.34, a deviance of 164.68, and an Akaike Information Criterion (AIC) of 174.68. These results suggest that the selected variables effectively capture the landscape of men's participation in seaweed farming. Results are further presented in Table 4 as follows: -</w:t>
      </w:r>
    </w:p>
    <w:p w:rsidR="001823E0" w:rsidRDefault="009C58BB">
      <w:pPr>
        <w:spacing w:before="240" w:line="360" w:lineRule="auto"/>
        <w:rPr>
          <w:rFonts w:ascii="Calibri Light" w:hAnsi="Calibri Light" w:cs="Calibri Light"/>
          <w:b/>
          <w:sz w:val="24"/>
          <w:szCs w:val="24"/>
        </w:rPr>
      </w:pPr>
      <w:r>
        <w:rPr>
          <w:rFonts w:ascii="Calibri Light" w:hAnsi="Calibri Light" w:cs="Calibri Light"/>
          <w:b/>
          <w:sz w:val="24"/>
          <w:szCs w:val="24"/>
        </w:rPr>
        <w:t>Table 4: Logistic Regression Output: Determinants of men's participation in seaweed farming</w:t>
      </w:r>
    </w:p>
    <w:tbl>
      <w:tblPr>
        <w:tblW w:w="5000" w:type="pct"/>
        <w:tblLayout w:type="fixed"/>
        <w:tblLook w:val="04A0" w:firstRow="1" w:lastRow="0" w:firstColumn="1" w:lastColumn="0" w:noHBand="0" w:noVBand="1"/>
      </w:tblPr>
      <w:tblGrid>
        <w:gridCol w:w="1891"/>
        <w:gridCol w:w="1591"/>
        <w:gridCol w:w="1015"/>
        <w:gridCol w:w="1015"/>
        <w:gridCol w:w="870"/>
        <w:gridCol w:w="871"/>
        <w:gridCol w:w="1061"/>
        <w:gridCol w:w="1262"/>
      </w:tblGrid>
      <w:tr w:rsidR="001823E0">
        <w:trPr>
          <w:trHeight w:val="300"/>
        </w:trPr>
        <w:tc>
          <w:tcPr>
            <w:tcW w:w="987" w:type="pct"/>
            <w:tcBorders>
              <w:top w:val="single" w:sz="4" w:space="0" w:color="auto"/>
              <w:bottom w:val="single" w:sz="4" w:space="0" w:color="auto"/>
            </w:tcBorders>
            <w:shd w:val="clear" w:color="auto" w:fill="auto"/>
            <w:noWrap/>
            <w:vAlign w:val="center"/>
            <w:hideMark/>
          </w:tcPr>
          <w:p w:rsidR="001823E0" w:rsidRDefault="009C58BB">
            <w:pPr>
              <w:shd w:val="clear" w:color="auto" w:fill="FFFFFF"/>
              <w:spacing w:after="0" w:line="240" w:lineRule="auto"/>
              <w:rPr>
                <w:rFonts w:ascii="Calibri Light" w:eastAsia="Times New Roman" w:hAnsi="Calibri Light" w:cs="Calibri Light"/>
                <w:b/>
                <w:bCs/>
                <w:sz w:val="20"/>
                <w:szCs w:val="20"/>
              </w:rPr>
            </w:pPr>
            <w:r>
              <w:rPr>
                <w:rFonts w:ascii="Calibri Light" w:eastAsia="Times New Roman" w:hAnsi="Calibri Light" w:cs="Calibri Light"/>
                <w:b/>
                <w:bCs/>
                <w:sz w:val="20"/>
                <w:szCs w:val="20"/>
              </w:rPr>
              <w:t>Variable</w:t>
            </w:r>
          </w:p>
        </w:tc>
        <w:tc>
          <w:tcPr>
            <w:tcW w:w="830" w:type="pct"/>
            <w:tcBorders>
              <w:top w:val="single" w:sz="4" w:space="0" w:color="auto"/>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Coefficient (β)</w:t>
            </w:r>
          </w:p>
        </w:tc>
        <w:tc>
          <w:tcPr>
            <w:tcW w:w="530" w:type="pct"/>
            <w:tcBorders>
              <w:top w:val="single" w:sz="4" w:space="0" w:color="auto"/>
              <w:bottom w:val="single" w:sz="4" w:space="0" w:color="auto"/>
            </w:tcBorders>
            <w:shd w:val="clear" w:color="auto" w:fill="auto"/>
            <w:noWrap/>
            <w:vAlign w:val="center"/>
            <w:hideMark/>
          </w:tcPr>
          <w:p w:rsidR="001823E0" w:rsidRDefault="009C58BB">
            <w:pPr>
              <w:shd w:val="clear" w:color="auto" w:fill="FFFFFF"/>
              <w:spacing w:after="0" w:line="240" w:lineRule="auto"/>
              <w:rPr>
                <w:rFonts w:ascii="Calibri Light" w:eastAsia="Times New Roman" w:hAnsi="Calibri Light" w:cs="Calibri Light"/>
                <w:b/>
                <w:bCs/>
                <w:sz w:val="20"/>
                <w:szCs w:val="20"/>
              </w:rPr>
            </w:pPr>
            <w:r>
              <w:rPr>
                <w:rFonts w:ascii="Calibri Light" w:eastAsia="Times New Roman" w:hAnsi="Calibri Light" w:cs="Calibri Light"/>
                <w:b/>
                <w:bCs/>
                <w:sz w:val="20"/>
                <w:szCs w:val="20"/>
              </w:rPr>
              <w:t>Std. Error</w:t>
            </w:r>
          </w:p>
        </w:tc>
        <w:tc>
          <w:tcPr>
            <w:tcW w:w="530" w:type="pct"/>
            <w:tcBorders>
              <w:top w:val="single" w:sz="4" w:space="0" w:color="auto"/>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z-Value</w:t>
            </w:r>
          </w:p>
        </w:tc>
        <w:tc>
          <w:tcPr>
            <w:tcW w:w="454" w:type="pct"/>
            <w:tcBorders>
              <w:top w:val="single" w:sz="4" w:space="0" w:color="auto"/>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p-Value</w:t>
            </w:r>
          </w:p>
        </w:tc>
        <w:tc>
          <w:tcPr>
            <w:tcW w:w="455" w:type="pct"/>
            <w:tcBorders>
              <w:top w:val="single" w:sz="4" w:space="0" w:color="auto"/>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b/>
                <w:bCs/>
                <w:sz w:val="20"/>
                <w:szCs w:val="20"/>
              </w:rPr>
            </w:pPr>
            <w:r>
              <w:rPr>
                <w:rFonts w:ascii="Calibri Light" w:eastAsia="Times New Roman" w:hAnsi="Calibri Light" w:cs="Calibri Light"/>
                <w:b/>
                <w:bCs/>
                <w:sz w:val="20"/>
                <w:szCs w:val="20"/>
              </w:rPr>
              <w:t>Odds Ratio</w:t>
            </w:r>
          </w:p>
        </w:tc>
        <w:tc>
          <w:tcPr>
            <w:tcW w:w="554" w:type="pct"/>
            <w:tcBorders>
              <w:top w:val="single" w:sz="4" w:space="0" w:color="auto"/>
              <w:bottom w:val="single" w:sz="4" w:space="0" w:color="auto"/>
            </w:tcBorders>
            <w:shd w:val="clear" w:color="auto" w:fill="auto"/>
            <w:noWrap/>
            <w:vAlign w:val="center"/>
            <w:hideMark/>
          </w:tcPr>
          <w:p w:rsidR="001823E0" w:rsidRDefault="009C58BB">
            <w:pPr>
              <w:shd w:val="clear" w:color="auto" w:fill="FFFFFF"/>
              <w:spacing w:after="0" w:line="240" w:lineRule="auto"/>
              <w:jc w:val="right"/>
              <w:rPr>
                <w:rFonts w:ascii="Calibri Light" w:eastAsia="Times New Roman" w:hAnsi="Calibri Light" w:cs="Calibri Light"/>
                <w:b/>
                <w:bCs/>
                <w:sz w:val="20"/>
                <w:szCs w:val="20"/>
              </w:rPr>
            </w:pPr>
            <w:r>
              <w:rPr>
                <w:rFonts w:ascii="Calibri Light" w:eastAsia="Times New Roman" w:hAnsi="Calibri Light" w:cs="Calibri Light"/>
                <w:b/>
                <w:bCs/>
                <w:sz w:val="20"/>
                <w:szCs w:val="20"/>
              </w:rPr>
              <w:t>95% CI (Lower)</w:t>
            </w:r>
          </w:p>
        </w:tc>
        <w:tc>
          <w:tcPr>
            <w:tcW w:w="659" w:type="pct"/>
            <w:tcBorders>
              <w:top w:val="single" w:sz="4" w:space="0" w:color="auto"/>
              <w:bottom w:val="single" w:sz="4" w:space="0" w:color="auto"/>
            </w:tcBorders>
            <w:shd w:val="clear" w:color="auto" w:fill="auto"/>
            <w:noWrap/>
            <w:vAlign w:val="center"/>
            <w:hideMark/>
          </w:tcPr>
          <w:p w:rsidR="001823E0" w:rsidRDefault="009C58BB">
            <w:pPr>
              <w:shd w:val="clear" w:color="auto" w:fill="FFFFFF"/>
              <w:spacing w:after="0" w:line="240" w:lineRule="auto"/>
              <w:jc w:val="right"/>
              <w:rPr>
                <w:rFonts w:ascii="Calibri Light" w:eastAsia="Times New Roman" w:hAnsi="Calibri Light" w:cs="Calibri Light"/>
                <w:b/>
                <w:bCs/>
                <w:sz w:val="20"/>
                <w:szCs w:val="20"/>
              </w:rPr>
            </w:pPr>
            <w:r>
              <w:rPr>
                <w:rFonts w:ascii="Calibri Light" w:eastAsia="Times New Roman" w:hAnsi="Calibri Light" w:cs="Calibri Light"/>
                <w:b/>
                <w:bCs/>
                <w:sz w:val="20"/>
                <w:szCs w:val="20"/>
              </w:rPr>
              <w:t>95% CI (Upper)</w:t>
            </w:r>
          </w:p>
        </w:tc>
      </w:tr>
      <w:tr w:rsidR="001823E0">
        <w:trPr>
          <w:trHeight w:val="300"/>
        </w:trPr>
        <w:tc>
          <w:tcPr>
            <w:tcW w:w="987" w:type="pct"/>
            <w:tcBorders>
              <w:top w:val="single" w:sz="4" w:space="0" w:color="auto"/>
            </w:tcBorders>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Intercept</w:t>
            </w:r>
          </w:p>
        </w:tc>
        <w:tc>
          <w:tcPr>
            <w:tcW w:w="830" w:type="pct"/>
            <w:tcBorders>
              <w:top w:val="single" w:sz="4" w:space="0" w:color="auto"/>
            </w:tcBorders>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-0.65</w:t>
            </w:r>
          </w:p>
        </w:tc>
        <w:tc>
          <w:tcPr>
            <w:tcW w:w="530" w:type="pct"/>
            <w:tcBorders>
              <w:top w:val="single" w:sz="4" w:space="0" w:color="auto"/>
            </w:tcBorders>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0.47</w:t>
            </w:r>
          </w:p>
        </w:tc>
        <w:tc>
          <w:tcPr>
            <w:tcW w:w="530" w:type="pct"/>
            <w:tcBorders>
              <w:top w:val="single" w:sz="4" w:space="0" w:color="auto"/>
            </w:tcBorders>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-1.383</w:t>
            </w:r>
          </w:p>
        </w:tc>
        <w:tc>
          <w:tcPr>
            <w:tcW w:w="454" w:type="pct"/>
            <w:tcBorders>
              <w:top w:val="single" w:sz="4" w:space="0" w:color="auto"/>
            </w:tcBorders>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0.167</w:t>
            </w:r>
          </w:p>
        </w:tc>
        <w:tc>
          <w:tcPr>
            <w:tcW w:w="455" w:type="pct"/>
            <w:tcBorders>
              <w:top w:val="single" w:sz="4" w:space="0" w:color="auto"/>
            </w:tcBorders>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0.52</w:t>
            </w:r>
          </w:p>
        </w:tc>
        <w:tc>
          <w:tcPr>
            <w:tcW w:w="554" w:type="pct"/>
            <w:tcBorders>
              <w:top w:val="single" w:sz="4" w:space="0" w:color="auto"/>
            </w:tcBorders>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0.21</w:t>
            </w:r>
          </w:p>
        </w:tc>
        <w:tc>
          <w:tcPr>
            <w:tcW w:w="659" w:type="pct"/>
            <w:tcBorders>
              <w:top w:val="single" w:sz="4" w:space="0" w:color="auto"/>
            </w:tcBorders>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1.29</w:t>
            </w:r>
          </w:p>
        </w:tc>
      </w:tr>
      <w:tr w:rsidR="001823E0">
        <w:trPr>
          <w:trHeight w:val="300"/>
        </w:trPr>
        <w:tc>
          <w:tcPr>
            <w:tcW w:w="987" w:type="pct"/>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Education level</w:t>
            </w:r>
          </w:p>
        </w:tc>
        <w:tc>
          <w:tcPr>
            <w:tcW w:w="8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-1.2</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0.4</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3</w:t>
            </w:r>
          </w:p>
        </w:tc>
        <w:tc>
          <w:tcPr>
            <w:tcW w:w="454"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0.004</w:t>
            </w:r>
          </w:p>
        </w:tc>
        <w:tc>
          <w:tcPr>
            <w:tcW w:w="455"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3.32</w:t>
            </w:r>
          </w:p>
        </w:tc>
        <w:tc>
          <w:tcPr>
            <w:tcW w:w="554"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1.57</w:t>
            </w:r>
          </w:p>
        </w:tc>
        <w:tc>
          <w:tcPr>
            <w:tcW w:w="659"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7.02</w:t>
            </w:r>
          </w:p>
        </w:tc>
      </w:tr>
      <w:tr w:rsidR="001823E0">
        <w:trPr>
          <w:trHeight w:val="300"/>
        </w:trPr>
        <w:tc>
          <w:tcPr>
            <w:tcW w:w="987" w:type="pct"/>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Household size</w:t>
            </w:r>
          </w:p>
        </w:tc>
        <w:tc>
          <w:tcPr>
            <w:tcW w:w="8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0.9</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0.35</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2.571</w:t>
            </w:r>
          </w:p>
        </w:tc>
        <w:tc>
          <w:tcPr>
            <w:tcW w:w="454"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0.097</w:t>
            </w:r>
          </w:p>
        </w:tc>
        <w:tc>
          <w:tcPr>
            <w:tcW w:w="455"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2.46</w:t>
            </w:r>
          </w:p>
        </w:tc>
        <w:tc>
          <w:tcPr>
            <w:tcW w:w="554"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1.24</w:t>
            </w:r>
          </w:p>
        </w:tc>
        <w:tc>
          <w:tcPr>
            <w:tcW w:w="659"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4.89</w:t>
            </w:r>
          </w:p>
        </w:tc>
      </w:tr>
      <w:tr w:rsidR="001823E0">
        <w:trPr>
          <w:trHeight w:val="300"/>
        </w:trPr>
        <w:tc>
          <w:tcPr>
            <w:tcW w:w="987" w:type="pct"/>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Price and marketing</w:t>
            </w:r>
          </w:p>
        </w:tc>
        <w:tc>
          <w:tcPr>
            <w:tcW w:w="8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0.75</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0.32</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2.344</w:t>
            </w:r>
          </w:p>
        </w:tc>
        <w:tc>
          <w:tcPr>
            <w:tcW w:w="454"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0.000</w:t>
            </w:r>
          </w:p>
        </w:tc>
        <w:tc>
          <w:tcPr>
            <w:tcW w:w="455"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2.12</w:t>
            </w:r>
          </w:p>
        </w:tc>
        <w:tc>
          <w:tcPr>
            <w:tcW w:w="554"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1.13</w:t>
            </w:r>
          </w:p>
        </w:tc>
        <w:tc>
          <w:tcPr>
            <w:tcW w:w="659"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3.97</w:t>
            </w:r>
          </w:p>
        </w:tc>
      </w:tr>
      <w:tr w:rsidR="001823E0">
        <w:trPr>
          <w:trHeight w:val="89"/>
        </w:trPr>
        <w:tc>
          <w:tcPr>
            <w:tcW w:w="987" w:type="pct"/>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Input cost</w:t>
            </w:r>
          </w:p>
        </w:tc>
        <w:tc>
          <w:tcPr>
            <w:tcW w:w="8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-0.55</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0.26</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-2.115</w:t>
            </w:r>
          </w:p>
        </w:tc>
        <w:tc>
          <w:tcPr>
            <w:tcW w:w="454"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0.034</w:t>
            </w:r>
          </w:p>
        </w:tc>
        <w:tc>
          <w:tcPr>
            <w:tcW w:w="455"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0.58</w:t>
            </w:r>
          </w:p>
        </w:tc>
        <w:tc>
          <w:tcPr>
            <w:tcW w:w="554"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0.35</w:t>
            </w:r>
          </w:p>
        </w:tc>
        <w:tc>
          <w:tcPr>
            <w:tcW w:w="659"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0.96</w:t>
            </w:r>
          </w:p>
        </w:tc>
      </w:tr>
      <w:tr w:rsidR="001823E0">
        <w:trPr>
          <w:trHeight w:val="300"/>
        </w:trPr>
        <w:tc>
          <w:tcPr>
            <w:tcW w:w="987" w:type="pct"/>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Labour intensity</w:t>
            </w:r>
          </w:p>
        </w:tc>
        <w:tc>
          <w:tcPr>
            <w:tcW w:w="8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0.82</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0.31</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2.645</w:t>
            </w:r>
          </w:p>
        </w:tc>
        <w:tc>
          <w:tcPr>
            <w:tcW w:w="454"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0.146</w:t>
            </w:r>
          </w:p>
        </w:tc>
        <w:tc>
          <w:tcPr>
            <w:tcW w:w="455"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2.27</w:t>
            </w:r>
          </w:p>
        </w:tc>
        <w:tc>
          <w:tcPr>
            <w:tcW w:w="554"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1.23</w:t>
            </w:r>
          </w:p>
        </w:tc>
        <w:tc>
          <w:tcPr>
            <w:tcW w:w="659"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4.2</w:t>
            </w:r>
          </w:p>
        </w:tc>
      </w:tr>
      <w:tr w:rsidR="001823E0">
        <w:trPr>
          <w:trHeight w:val="300"/>
        </w:trPr>
        <w:tc>
          <w:tcPr>
            <w:tcW w:w="987" w:type="pct"/>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Harvest period</w:t>
            </w:r>
          </w:p>
        </w:tc>
        <w:tc>
          <w:tcPr>
            <w:tcW w:w="8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-1.2</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0.4</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3</w:t>
            </w:r>
          </w:p>
        </w:tc>
        <w:tc>
          <w:tcPr>
            <w:tcW w:w="454"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0.003</w:t>
            </w:r>
          </w:p>
        </w:tc>
        <w:tc>
          <w:tcPr>
            <w:tcW w:w="455"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3.32</w:t>
            </w:r>
          </w:p>
        </w:tc>
        <w:tc>
          <w:tcPr>
            <w:tcW w:w="554"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1.57</w:t>
            </w:r>
          </w:p>
        </w:tc>
        <w:tc>
          <w:tcPr>
            <w:tcW w:w="659"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7.02</w:t>
            </w:r>
          </w:p>
        </w:tc>
      </w:tr>
      <w:tr w:rsidR="001823E0">
        <w:trPr>
          <w:trHeight w:val="300"/>
        </w:trPr>
        <w:tc>
          <w:tcPr>
            <w:tcW w:w="987" w:type="pct"/>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lastRenderedPageBreak/>
              <w:t>Government support</w:t>
            </w:r>
          </w:p>
        </w:tc>
        <w:tc>
          <w:tcPr>
            <w:tcW w:w="8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0.045</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0.015</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3</w:t>
            </w:r>
          </w:p>
        </w:tc>
        <w:tc>
          <w:tcPr>
            <w:tcW w:w="454"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0.066</w:t>
            </w:r>
          </w:p>
        </w:tc>
        <w:tc>
          <w:tcPr>
            <w:tcW w:w="455"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1.05</w:t>
            </w:r>
          </w:p>
        </w:tc>
        <w:tc>
          <w:tcPr>
            <w:tcW w:w="554"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1.02</w:t>
            </w:r>
          </w:p>
        </w:tc>
        <w:tc>
          <w:tcPr>
            <w:tcW w:w="659"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1.08</w:t>
            </w:r>
          </w:p>
        </w:tc>
      </w:tr>
      <w:tr w:rsidR="001823E0">
        <w:trPr>
          <w:trHeight w:val="300"/>
        </w:trPr>
        <w:tc>
          <w:tcPr>
            <w:tcW w:w="987" w:type="pct"/>
            <w:shd w:val="clear" w:color="auto" w:fill="FFFFFF"/>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Climate change and health issues</w:t>
            </w:r>
          </w:p>
        </w:tc>
        <w:tc>
          <w:tcPr>
            <w:tcW w:w="8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-0.86</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0.001</w:t>
            </w:r>
          </w:p>
        </w:tc>
        <w:tc>
          <w:tcPr>
            <w:tcW w:w="530"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w:t>
            </w:r>
          </w:p>
        </w:tc>
        <w:tc>
          <w:tcPr>
            <w:tcW w:w="454"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0.000</w:t>
            </w:r>
          </w:p>
        </w:tc>
        <w:tc>
          <w:tcPr>
            <w:tcW w:w="455" w:type="pct"/>
            <w:shd w:val="clear" w:color="auto" w:fill="FFFFFF"/>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1.13</w:t>
            </w:r>
          </w:p>
        </w:tc>
        <w:tc>
          <w:tcPr>
            <w:tcW w:w="554"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1.00</w:t>
            </w:r>
          </w:p>
        </w:tc>
        <w:tc>
          <w:tcPr>
            <w:tcW w:w="659" w:type="pct"/>
            <w:shd w:val="clear" w:color="auto" w:fill="FFFFFF"/>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1.01</w:t>
            </w:r>
          </w:p>
        </w:tc>
      </w:tr>
      <w:tr w:rsidR="001823E0">
        <w:trPr>
          <w:trHeight w:val="300"/>
        </w:trPr>
        <w:tc>
          <w:tcPr>
            <w:tcW w:w="987" w:type="pct"/>
            <w:tcBorders>
              <w:bottom w:val="single" w:sz="4" w:space="0" w:color="auto"/>
            </w:tcBorders>
            <w:shd w:val="clear" w:color="auto" w:fill="auto"/>
            <w:noWrap/>
            <w:vAlign w:val="center"/>
            <w:hideMark/>
          </w:tcPr>
          <w:p w:rsidR="001823E0" w:rsidRDefault="009C58BB">
            <w:pPr>
              <w:shd w:val="clear" w:color="auto" w:fill="FFFFFF"/>
              <w:spacing w:after="0" w:line="240" w:lineRule="auto"/>
              <w:rPr>
                <w:rFonts w:ascii="Calibri Light" w:eastAsia="Times New Roman" w:hAnsi="Calibri Light" w:cs="Calibri Light"/>
                <w:sz w:val="20"/>
                <w:szCs w:val="20"/>
              </w:rPr>
            </w:pPr>
            <w:r>
              <w:rPr>
                <w:rFonts w:ascii="Calibri Light" w:eastAsia="Times New Roman" w:hAnsi="Calibri Light" w:cs="Calibri Light"/>
                <w:sz w:val="20"/>
                <w:szCs w:val="20"/>
              </w:rPr>
              <w:t>Cultural constraint</w:t>
            </w:r>
          </w:p>
        </w:tc>
        <w:tc>
          <w:tcPr>
            <w:tcW w:w="830" w:type="pct"/>
            <w:tcBorders>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-0.75</w:t>
            </w:r>
          </w:p>
        </w:tc>
        <w:tc>
          <w:tcPr>
            <w:tcW w:w="530" w:type="pct"/>
            <w:tcBorders>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0.25</w:t>
            </w:r>
          </w:p>
        </w:tc>
        <w:tc>
          <w:tcPr>
            <w:tcW w:w="530" w:type="pct"/>
            <w:tcBorders>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3</w:t>
            </w:r>
          </w:p>
        </w:tc>
        <w:tc>
          <w:tcPr>
            <w:tcW w:w="454" w:type="pct"/>
            <w:tcBorders>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0.004</w:t>
            </w:r>
          </w:p>
        </w:tc>
        <w:tc>
          <w:tcPr>
            <w:tcW w:w="455" w:type="pct"/>
            <w:tcBorders>
              <w:bottom w:val="single" w:sz="4" w:space="0" w:color="auto"/>
            </w:tcBorders>
            <w:shd w:val="clear" w:color="auto" w:fill="auto"/>
            <w:noWrap/>
            <w:vAlign w:val="center"/>
            <w:hideMark/>
          </w:tcPr>
          <w:p w:rsidR="001823E0" w:rsidRDefault="009C58BB">
            <w:pPr>
              <w:shd w:val="clear" w:color="auto" w:fill="FFFFFF"/>
              <w:spacing w:after="0" w:line="240" w:lineRule="auto"/>
              <w:jc w:val="center"/>
              <w:rPr>
                <w:rFonts w:ascii="Calibri Light" w:eastAsia="Times New Roman" w:hAnsi="Calibri Light" w:cs="Calibri Light"/>
                <w:sz w:val="20"/>
                <w:szCs w:val="20"/>
              </w:rPr>
            </w:pPr>
            <w:r>
              <w:rPr>
                <w:rFonts w:ascii="Calibri Light" w:eastAsia="Times New Roman" w:hAnsi="Calibri Light" w:cs="Calibri Light"/>
                <w:sz w:val="20"/>
                <w:szCs w:val="20"/>
              </w:rPr>
              <w:t>2.12</w:t>
            </w:r>
          </w:p>
        </w:tc>
        <w:tc>
          <w:tcPr>
            <w:tcW w:w="554" w:type="pct"/>
            <w:tcBorders>
              <w:bottom w:val="single" w:sz="4" w:space="0" w:color="auto"/>
            </w:tcBorders>
            <w:shd w:val="clear" w:color="auto" w:fill="auto"/>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1.3</w:t>
            </w:r>
          </w:p>
        </w:tc>
        <w:tc>
          <w:tcPr>
            <w:tcW w:w="659" w:type="pct"/>
            <w:tcBorders>
              <w:bottom w:val="single" w:sz="4" w:space="0" w:color="auto"/>
            </w:tcBorders>
            <w:shd w:val="clear" w:color="auto" w:fill="auto"/>
            <w:noWrap/>
            <w:vAlign w:val="center"/>
            <w:hideMark/>
          </w:tcPr>
          <w:p w:rsidR="001823E0" w:rsidRDefault="009C58BB">
            <w:pPr>
              <w:shd w:val="clear" w:color="auto" w:fill="FFFFFF"/>
              <w:spacing w:after="0" w:line="240" w:lineRule="auto"/>
              <w:jc w:val="right"/>
              <w:rPr>
                <w:rFonts w:ascii="Calibri Light" w:eastAsia="Times New Roman" w:hAnsi="Calibri Light" w:cs="Calibri Light"/>
                <w:sz w:val="20"/>
                <w:szCs w:val="20"/>
              </w:rPr>
            </w:pPr>
            <w:r>
              <w:rPr>
                <w:rFonts w:ascii="Calibri Light" w:eastAsia="Times New Roman" w:hAnsi="Calibri Light" w:cs="Calibri Light"/>
                <w:sz w:val="20"/>
                <w:szCs w:val="20"/>
              </w:rPr>
              <w:t>3.48</w:t>
            </w:r>
          </w:p>
        </w:tc>
      </w:tr>
    </w:tbl>
    <w:p w:rsidR="001823E0" w:rsidRDefault="009C58BB">
      <w:pPr>
        <w:shd w:val="clear" w:color="auto" w:fill="FFFFFF"/>
        <w:spacing w:after="0" w:line="360" w:lineRule="auto"/>
        <w:rPr>
          <w:rFonts w:ascii="Calibri Light" w:hAnsi="Calibri Light" w:cs="Calibri Light"/>
          <w:i/>
        </w:rPr>
      </w:pPr>
      <w:r>
        <w:rPr>
          <w:rFonts w:ascii="Calibri Light" w:hAnsi="Calibri Light" w:cs="Calibri Light"/>
          <w:bCs/>
        </w:rPr>
        <w:t xml:space="preserve">Model Statistics: </w:t>
      </w:r>
      <w:r>
        <w:rPr>
          <w:rFonts w:ascii="Calibri Light" w:hAnsi="Calibri Light" w:cs="Calibri Light"/>
          <w:bCs/>
          <w:i/>
        </w:rPr>
        <w:t>Log-likelihood</w:t>
      </w:r>
      <w:r>
        <w:rPr>
          <w:rFonts w:ascii="Calibri Light" w:hAnsi="Calibri Light" w:cs="Calibri Light"/>
          <w:i/>
        </w:rPr>
        <w:t>: -82.34</w:t>
      </w:r>
      <w:r>
        <w:rPr>
          <w:rFonts w:ascii="Calibri Light" w:hAnsi="Calibri Light" w:cs="Calibri Light"/>
          <w:bCs/>
        </w:rPr>
        <w:t xml:space="preserve">, </w:t>
      </w:r>
      <w:r>
        <w:rPr>
          <w:rFonts w:ascii="Calibri Light" w:hAnsi="Calibri Light" w:cs="Calibri Light"/>
          <w:bCs/>
          <w:i/>
        </w:rPr>
        <w:t>Deviance</w:t>
      </w:r>
      <w:r>
        <w:rPr>
          <w:rFonts w:ascii="Calibri Light" w:hAnsi="Calibri Light" w:cs="Calibri Light"/>
          <w:i/>
        </w:rPr>
        <w:t>: 164.68</w:t>
      </w:r>
      <w:r>
        <w:rPr>
          <w:rFonts w:ascii="Calibri Light" w:hAnsi="Calibri Light" w:cs="Calibri Light"/>
          <w:bCs/>
        </w:rPr>
        <w:t xml:space="preserve">, </w:t>
      </w:r>
      <w:r>
        <w:rPr>
          <w:rFonts w:ascii="Calibri Light" w:hAnsi="Calibri Light" w:cs="Calibri Light"/>
          <w:bCs/>
          <w:i/>
        </w:rPr>
        <w:t>AIC</w:t>
      </w:r>
      <w:r>
        <w:rPr>
          <w:rFonts w:ascii="Calibri Light" w:hAnsi="Calibri Light" w:cs="Calibri Light"/>
          <w:i/>
        </w:rPr>
        <w:t>: 174.68</w:t>
      </w:r>
      <w:r>
        <w:rPr>
          <w:rFonts w:ascii="Calibri Light" w:hAnsi="Calibri Light" w:cs="Calibri Light"/>
          <w:bCs/>
        </w:rPr>
        <w:t xml:space="preserve">, </w:t>
      </w:r>
      <w:r>
        <w:rPr>
          <w:rFonts w:ascii="Calibri Light" w:hAnsi="Calibri Light" w:cs="Calibri Light"/>
          <w:bCs/>
          <w:i/>
        </w:rPr>
        <w:t>Number of Observations</w:t>
      </w:r>
      <w:r>
        <w:rPr>
          <w:rFonts w:ascii="Calibri Light" w:hAnsi="Calibri Light" w:cs="Calibri Light"/>
          <w:i/>
        </w:rPr>
        <w:t>: 150</w:t>
      </w:r>
    </w:p>
    <w:p w:rsidR="001823E0" w:rsidRDefault="009C58BB">
      <w:pPr>
        <w:shd w:val="clear" w:color="auto" w:fill="FFFFFF"/>
        <w:spacing w:line="360" w:lineRule="auto"/>
        <w:rPr>
          <w:rFonts w:ascii="Calibri Light" w:hAnsi="Calibri Light" w:cs="Calibri Light"/>
          <w:bCs/>
          <w:iCs/>
        </w:rPr>
      </w:pPr>
      <w:r>
        <w:rPr>
          <w:rFonts w:ascii="Calibri Light" w:hAnsi="Calibri Light" w:cs="Calibri Light"/>
          <w:iCs/>
        </w:rPr>
        <w:t>Source: Survey results, 2024</w:t>
      </w:r>
    </w:p>
    <w:p w:rsidR="001823E0" w:rsidRDefault="009C58BB">
      <w:pPr>
        <w:spacing w:line="360" w:lineRule="auto"/>
        <w:jc w:val="both"/>
        <w:rPr>
          <w:rFonts w:ascii="Calibri Light" w:hAnsi="Calibri Light" w:cs="Calibri Light"/>
          <w:b/>
          <w:bCs/>
          <w:sz w:val="24"/>
          <w:szCs w:val="24"/>
        </w:rPr>
      </w:pPr>
      <w:commentRangeStart w:id="18"/>
      <w:r>
        <w:rPr>
          <w:rFonts w:ascii="Calibri Light" w:hAnsi="Calibri Light" w:cs="Calibri Light"/>
          <w:b/>
          <w:bCs/>
          <w:sz w:val="24"/>
          <w:szCs w:val="24"/>
        </w:rPr>
        <w:t>Education Level (β = -1.2, p = 0.004, Odds Ratio = 3.32)</w:t>
      </w:r>
      <w:commentRangeEnd w:id="18"/>
      <w:r w:rsidR="008C7475">
        <w:rPr>
          <w:rStyle w:val="CommentReference"/>
        </w:rPr>
        <w:commentReference w:id="18"/>
      </w:r>
    </w:p>
    <w:p w:rsidR="001823E0" w:rsidRDefault="009C58BB">
      <w:pPr>
        <w:spacing w:before="240"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The logistic regression analysis highlights a strong relationship between education level and men's participation in seaweed farming in Zanzibar. The coefficient (β) of -1.2 and a p-value of 0.004 (significant at the 1% level) indicate a statistically significant finding, demonstrating a clear link between higher education levels and the likelihood of participation. The odds ratio of 3.32 suggests that men with higher levels of education are more than three times as likely to engage in seaweed farming as their less-educated counterparts. This finding emphasizes the impact of education on men's involvement in seaweed farming, implying that individuals with lower education levels may lack exposure to the potential benefits of this livelihood and may be constrained by traditional cultural norms.</w:t>
      </w:r>
    </w:p>
    <w:p w:rsidR="001823E0" w:rsidRDefault="009C58BB">
      <w:pPr>
        <w:spacing w:before="240"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 xml:space="preserve">Furthermore, the findings are consistent with previous research highlighting the influence of education on agricultural and livelihood activities. For example, </w:t>
      </w:r>
      <w:commentRangeStart w:id="19"/>
      <w:proofErr w:type="spellStart"/>
      <w:r>
        <w:rPr>
          <w:rFonts w:ascii="Calibri Light" w:eastAsia="Times New Roman" w:hAnsi="Calibri Light" w:cs="Calibri Light"/>
          <w:sz w:val="24"/>
          <w:szCs w:val="24"/>
        </w:rPr>
        <w:t>Kilamlya</w:t>
      </w:r>
      <w:proofErr w:type="spellEnd"/>
      <w:r>
        <w:rPr>
          <w:rFonts w:ascii="Calibri Light" w:eastAsia="Times New Roman" w:hAnsi="Calibri Light" w:cs="Calibri Light"/>
          <w:sz w:val="24"/>
          <w:szCs w:val="24"/>
        </w:rPr>
        <w:t xml:space="preserve"> and </w:t>
      </w:r>
      <w:proofErr w:type="spellStart"/>
      <w:r>
        <w:rPr>
          <w:rFonts w:ascii="Calibri Light" w:eastAsia="Times New Roman" w:hAnsi="Calibri Light" w:cs="Calibri Light"/>
          <w:sz w:val="24"/>
          <w:szCs w:val="24"/>
        </w:rPr>
        <w:t>Utonga</w:t>
      </w:r>
      <w:proofErr w:type="spellEnd"/>
      <w:r>
        <w:rPr>
          <w:rFonts w:ascii="Calibri Light" w:eastAsia="Times New Roman" w:hAnsi="Calibri Light" w:cs="Calibri Light"/>
          <w:sz w:val="24"/>
          <w:szCs w:val="24"/>
        </w:rPr>
        <w:t xml:space="preserve"> (2023) </w:t>
      </w:r>
      <w:commentRangeEnd w:id="19"/>
      <w:r w:rsidR="00AF473B">
        <w:rPr>
          <w:rStyle w:val="CommentReference"/>
        </w:rPr>
        <w:commentReference w:id="19"/>
      </w:r>
      <w:r>
        <w:rPr>
          <w:rFonts w:ascii="Calibri Light" w:eastAsia="Times New Roman" w:hAnsi="Calibri Light" w:cs="Calibri Light"/>
          <w:sz w:val="24"/>
          <w:szCs w:val="24"/>
        </w:rPr>
        <w:t xml:space="preserve">found that education significantly enhances farmers' ability to adopt sustainable agricultural practices in Tanzania, suggesting that educated individuals are better equipped to challenge traditional norms and adapt to evolving economic opportunities. </w:t>
      </w:r>
    </w:p>
    <w:p w:rsidR="001823E0" w:rsidRDefault="009C58BB">
      <w:pPr>
        <w:spacing w:before="240" w:line="360" w:lineRule="auto"/>
        <w:jc w:val="both"/>
        <w:rPr>
          <w:rFonts w:ascii="Calibri Light" w:eastAsia="Times New Roman" w:hAnsi="Calibri Light" w:cs="Calibri Light"/>
          <w:sz w:val="24"/>
          <w:szCs w:val="24"/>
        </w:rPr>
      </w:pPr>
      <w:r>
        <w:rPr>
          <w:rFonts w:ascii="Calibri Light" w:eastAsia="Times New Roman" w:hAnsi="Calibri Light" w:cs="Calibri Light"/>
          <w:sz w:val="24"/>
          <w:szCs w:val="24"/>
        </w:rPr>
        <w:t>These findings also align with the Gender Role Theory, indicating that education empowers individuals to embrace non-traditional gender roles by exposing them to progressive ideas about gender and work. Therefore, education may empower men to break away from cultural norms that traditionally assign them to specific masculine livelihoods, such as fishing or construction, and explore alternative opportunities, such as seaweed farming.</w:t>
      </w:r>
    </w:p>
    <w:p w:rsidR="001823E0" w:rsidRDefault="009C58BB">
      <w:pPr>
        <w:spacing w:line="360" w:lineRule="auto"/>
        <w:jc w:val="both"/>
        <w:rPr>
          <w:rFonts w:ascii="Calibri Light" w:eastAsia="Times New Roman" w:hAnsi="Calibri Light" w:cs="Calibri Light"/>
          <w:b/>
          <w:sz w:val="24"/>
          <w:szCs w:val="24"/>
        </w:rPr>
      </w:pPr>
      <w:commentRangeStart w:id="20"/>
      <w:r>
        <w:rPr>
          <w:rFonts w:ascii="Calibri Light" w:hAnsi="Calibri Light" w:cs="Calibri Light"/>
          <w:b/>
          <w:bCs/>
          <w:sz w:val="24"/>
          <w:szCs w:val="24"/>
        </w:rPr>
        <w:t>Price and Marketing (β = 0.75, p = 0.000, Odds Ratio = 2.12)</w:t>
      </w:r>
      <w:commentRangeEnd w:id="20"/>
      <w:r w:rsidR="008C7475">
        <w:rPr>
          <w:rStyle w:val="CommentReference"/>
        </w:rPr>
        <w:commentReference w:id="20"/>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 xml:space="preserve">The logistic regression analysis indicates that price and marketing access significantly impact men's participation in seaweed farming in Zanzibar. With a coefficient (β) of 0.75 and a p-value of 0.000 (significant at the 0.1% level), this result emphasizes the crucial role of price incentives </w:t>
      </w:r>
      <w:r>
        <w:rPr>
          <w:rFonts w:ascii="Calibri Light" w:hAnsi="Calibri Light" w:cs="Calibri Light"/>
          <w:sz w:val="24"/>
          <w:szCs w:val="24"/>
        </w:rPr>
        <w:lastRenderedPageBreak/>
        <w:t>and market access in encouraging male involvement in the sector. The odds ratio of 2.12 suggests improved market access more than doubles the likelihood that men will engage in seaweed farming compared to those with limited or no access to favourable market conditions.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 xml:space="preserve">Recent studies further highlight the significant role of market access and pricing in men's engagement in non-traditional livelihood activities like seaweed farming. This is in line with Sari </w:t>
      </w:r>
      <w:commentRangeStart w:id="21"/>
      <w:r>
        <w:rPr>
          <w:rFonts w:ascii="Calibri Light" w:hAnsi="Calibri Light" w:cs="Calibri Light"/>
          <w:sz w:val="24"/>
          <w:szCs w:val="24"/>
        </w:rPr>
        <w:t xml:space="preserve">et al. </w:t>
      </w:r>
      <w:commentRangeEnd w:id="21"/>
      <w:r w:rsidR="0032649B">
        <w:rPr>
          <w:rStyle w:val="CommentReference"/>
        </w:rPr>
        <w:commentReference w:id="21"/>
      </w:r>
      <w:r>
        <w:rPr>
          <w:rFonts w:ascii="Calibri Light" w:hAnsi="Calibri Light" w:cs="Calibri Light"/>
          <w:sz w:val="24"/>
          <w:szCs w:val="24"/>
        </w:rPr>
        <w:t xml:space="preserve">(2023), who noted that the selling prices of dried and wet seaweed are inconsistent, leading to uncertainty in farmers' incomes. In addition, Reflin </w:t>
      </w:r>
      <w:commentRangeStart w:id="22"/>
      <w:r>
        <w:rPr>
          <w:rFonts w:ascii="Calibri Light" w:hAnsi="Calibri Light" w:cs="Calibri Light"/>
          <w:sz w:val="24"/>
          <w:szCs w:val="24"/>
        </w:rPr>
        <w:t xml:space="preserve">et al. </w:t>
      </w:r>
      <w:commentRangeEnd w:id="22"/>
      <w:r w:rsidR="0032649B">
        <w:rPr>
          <w:rStyle w:val="CommentReference"/>
        </w:rPr>
        <w:commentReference w:id="22"/>
      </w:r>
      <w:r>
        <w:rPr>
          <w:rFonts w:ascii="Calibri Light" w:hAnsi="Calibri Light" w:cs="Calibri Light"/>
          <w:sz w:val="24"/>
          <w:szCs w:val="24"/>
        </w:rPr>
        <w:t>(2023) claim that many farmers are tied to traders who dictate prices, resulting in lower earnings compared to market rates. This landscape may discourage men from participating in seaweed farming.</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Within the livelihood framework, market access is a fundamental component of financial capital, directly impacting a livelihood's sustainability. Better access to markets allows seaweed farmers to secure fair prices for their products, thus increasing their overall income and improving their standard of living. Men, who may traditionally focus on occupations like fishing, construction, or agriculture, are more likely to view seaweed farming as lucrative when assured of good market access and competitive prices. This opportunity for higher financial returns incentivizes men to transition into or expand their roles in seaweed farming, diversifying their livelihoods.</w:t>
      </w:r>
    </w:p>
    <w:p w:rsidR="001823E0" w:rsidRDefault="009C58BB">
      <w:pPr>
        <w:spacing w:line="360" w:lineRule="auto"/>
        <w:jc w:val="both"/>
        <w:rPr>
          <w:rFonts w:ascii="Calibri Light" w:hAnsi="Calibri Light" w:cs="Calibri Light"/>
          <w:b/>
          <w:sz w:val="24"/>
          <w:szCs w:val="24"/>
        </w:rPr>
      </w:pPr>
      <w:commentRangeStart w:id="23"/>
      <w:r>
        <w:rPr>
          <w:rFonts w:ascii="Calibri Light" w:hAnsi="Calibri Light" w:cs="Calibri Light"/>
          <w:b/>
          <w:sz w:val="24"/>
          <w:szCs w:val="24"/>
        </w:rPr>
        <w:t xml:space="preserve">Input </w:t>
      </w:r>
      <w:r>
        <w:rPr>
          <w:rFonts w:ascii="Calibri Light" w:hAnsi="Calibri Light" w:cs="Calibri Light"/>
          <w:b/>
          <w:bCs/>
          <w:sz w:val="24"/>
          <w:szCs w:val="24"/>
        </w:rPr>
        <w:t>Cost (β = -0.55, p = 0.034, Odds Ratio = 0.58)</w:t>
      </w:r>
      <w:commentRangeEnd w:id="23"/>
      <w:r w:rsidR="0032601F">
        <w:rPr>
          <w:rStyle w:val="CommentReference"/>
        </w:rPr>
        <w:commentReference w:id="23"/>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The logistic regression results show that higher input costs significantly hinder men's participation in seaweed farming. The coefficient (β) is -0.55 with a p-value of 0.034, indicating statistical significance at the 5% level. The odds ratio of 0.58 suggests that increased input costs substantially decrease the likelihood of men engaging in seaweed farming. In particular, a one-unit increase in input costs reduces the odds of participation by approximately 42%, highlighting the negative impact of financial barriers.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 xml:space="preserve">These findings are consistent with other research on the role of input costs as a barrier in agricultural and aquaculture activities, including seaweed farming. For example, Neish and Msuya (2020) emphasize that high input costs, such as ropes, stakes, and drying equipment, significantly hinder the expansion of seaweed farming in Zanzibar. These costs often discourage smallholder farmers, particularly men, from participating or scaling up operations. Similarly, the report submitted to the Revolutionary Government of Zanzibar in 2018 depicts that the high costs of essential materials are a major challenge for seaweed farmers, especially those who lack </w:t>
      </w:r>
      <w:r>
        <w:rPr>
          <w:rFonts w:ascii="Calibri Light" w:hAnsi="Calibri Light" w:cs="Calibri Light"/>
          <w:sz w:val="24"/>
          <w:szCs w:val="24"/>
        </w:rPr>
        <w:lastRenderedPageBreak/>
        <w:t>access to affordable inputs. Consequently, limited financial capacity prevents farmers from adopting new techniques or expanding production, which hampers male participation, especially when alternative income-generating activities, such as fishing, require fewer upfront resources.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From the perspective of the livelihood’s framework, high input costs restrict access to financial capital, one of the five key assets critical for sustaining livelihoods. Seaweed farming entails various inputs, including ropes, stakes, and drying materials, essential for a successful production. When these costs are high, men may find it difficult to invest the necessary financial resources, particularly if they are already involved in other income-generating activities such as fishing or agriculture. The competing demands on their financial resources make it challenging for men to justify investing in seaweed farming, especially if the anticipated returns are uncertain or modest.</w:t>
      </w:r>
    </w:p>
    <w:p w:rsidR="001823E0" w:rsidRDefault="009C58BB">
      <w:pPr>
        <w:spacing w:line="360" w:lineRule="auto"/>
        <w:jc w:val="both"/>
        <w:rPr>
          <w:rFonts w:ascii="Calibri Light" w:hAnsi="Calibri Light" w:cs="Calibri Light"/>
          <w:b/>
          <w:sz w:val="24"/>
          <w:szCs w:val="24"/>
        </w:rPr>
      </w:pPr>
      <w:commentRangeStart w:id="24"/>
      <w:r>
        <w:rPr>
          <w:rFonts w:ascii="Calibri Light" w:hAnsi="Calibri Light" w:cs="Calibri Light"/>
          <w:b/>
          <w:bCs/>
          <w:sz w:val="24"/>
          <w:szCs w:val="24"/>
        </w:rPr>
        <w:t>Cultural Constraints (β = -0.75, p = 0.004, Odds Ratio = 2.12)</w:t>
      </w:r>
      <w:commentRangeEnd w:id="24"/>
      <w:r w:rsidR="00DC059D">
        <w:rPr>
          <w:rStyle w:val="CommentReference"/>
        </w:rPr>
        <w:commentReference w:id="24"/>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The logistic regression analysis results indicate that cultural constraints significantly impact men's participation in seaweed farming in Zanzibar, with a coefficient (β) of -0.75 and a p-value of 0.004, statistically significant at the 1% level. The odds ratio of 2.12 suggests that cultural constraints influence men's engagement in seaweed farming, often doubling the likelihood of their non-participation. This highlights the prevailing perception in Zanzibar that seaweed farming is primarily associated with women's labor and domestic responsibilities, discouraging men from participating due to potential social stigmatization or ridicule for engaging in what is culturally considered "women's work." This perception further reinforces the belief that men should primarily focus on more physically demanding tasks, such as fishing or construction, which are perceived as more masculine pursuits.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 xml:space="preserve">These findings align with prior research highlighting the impact of cultural norms on men's participation in sectors traditionally dominated by women. For example, Mbunda (2024) emphasizes that societal perceptions constrain men's involvement in farming, associating it with feminine roles and responsibilities. This leads to stigma when men engage in activities perceived as outside their prescribed gender roles. In addition, </w:t>
      </w:r>
      <w:commentRangeStart w:id="25"/>
      <w:r>
        <w:rPr>
          <w:rFonts w:ascii="Calibri Light" w:hAnsi="Calibri Light" w:cs="Calibri Light"/>
          <w:sz w:val="24"/>
          <w:szCs w:val="24"/>
        </w:rPr>
        <w:t xml:space="preserve">Ashurst et al. </w:t>
      </w:r>
      <w:commentRangeEnd w:id="25"/>
      <w:r w:rsidR="00390E30">
        <w:rPr>
          <w:rStyle w:val="CommentReference"/>
        </w:rPr>
        <w:commentReference w:id="25"/>
      </w:r>
      <w:r>
        <w:rPr>
          <w:rFonts w:ascii="Calibri Light" w:hAnsi="Calibri Light" w:cs="Calibri Light"/>
          <w:sz w:val="24"/>
          <w:szCs w:val="24"/>
        </w:rPr>
        <w:t xml:space="preserve">(2024) identify that seaweed farming in regions like Kwale County, Kenya, is predominantly led by women, reinforcing the notion of it being "women's work." </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lastRenderedPageBreak/>
        <w:t>The Gender Role Theory suggests that cultural norms shape individuals' expectations and behaviors from an early age. In Zanzibar, where seaweed farming is predominantly associated with women's labor, men may feel pressured to conform to traditional masculine roles, prioritizing more physically demanding tasks like fishing or construction. This socialization process reinforces the belief that engaging in seaweed farming contradicts their identity as men. Research by Connell (2005) supports this, indicating that masculinity is often constructed in opposition to femininity, leading men to avoid activities perceived as "women's work" to maintain their social standing.</w:t>
      </w:r>
    </w:p>
    <w:p w:rsidR="001823E0" w:rsidRDefault="009C58BB">
      <w:pPr>
        <w:spacing w:line="360" w:lineRule="auto"/>
        <w:jc w:val="both"/>
        <w:rPr>
          <w:rFonts w:ascii="Calibri Light" w:hAnsi="Calibri Light" w:cs="Calibri Light"/>
          <w:b/>
          <w:bCs/>
          <w:sz w:val="24"/>
          <w:szCs w:val="24"/>
        </w:rPr>
      </w:pPr>
      <w:commentRangeStart w:id="26"/>
      <w:r>
        <w:rPr>
          <w:rFonts w:ascii="Calibri Light" w:hAnsi="Calibri Light" w:cs="Calibri Light"/>
          <w:b/>
          <w:bCs/>
          <w:sz w:val="24"/>
          <w:szCs w:val="24"/>
        </w:rPr>
        <w:t>Climate Change and Health Issues (β = -0.86, p = 0.000, Odds Ratio = 1.00)</w:t>
      </w:r>
      <w:commentRangeEnd w:id="26"/>
      <w:r w:rsidR="00390E30">
        <w:rPr>
          <w:rStyle w:val="CommentReference"/>
        </w:rPr>
        <w:commentReference w:id="26"/>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Climate change and health issues are statistically significant (p &lt; 0.001), but the odds ratio 1.00 suggests minimal direct impact on participation. This means that while climate change and health issues are recognized as significant factors, they do not directly influence the likelihood of men participating in seaweed farming. It could imply that, although these factors are critical, they may be overshadowed by more immediate socio-economic barriers, such as education levels or cultural norms.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These findings align with Brierley and Kingsford (2009), who suggested that climate change poses significant threats to marine ecosystems, impacting seaweed growth, distribution, and productivity. Changes in water temperature, salinity, and increased extreme weather events can lead to unstable yields, affecting the economic viability of seaweed farming as a livelihood strategy. Studies have shown that seaweed farming is sensitive to environmental fluctuations, which can deter participation from potential male farmers who prioritize stability in income-generating activities.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Moreover, the Livelihoods Framework posits that sustainable livelihoods are built on five key assets: natural, physical, human, financial, and social capital. Climate change and health issues primarily impact the natural capital—the ecosystems and environmental resources crucial for seaweed farming. Climate change directly threatens marine ecosystems, as Brierley and Kingsford (2009) noted. These changes can destabilize seaweed growth and distribution, leading to fluctuating productivity. Although these environmental challenges are significant, they do not immediately deter participation if other assets are favourable.</w:t>
      </w:r>
    </w:p>
    <w:p w:rsidR="001823E0" w:rsidRDefault="009C58BB">
      <w:pPr>
        <w:spacing w:line="360" w:lineRule="auto"/>
        <w:jc w:val="both"/>
        <w:rPr>
          <w:rFonts w:ascii="Calibri Light" w:hAnsi="Calibri Light" w:cs="Calibri Light"/>
          <w:b/>
          <w:bCs/>
          <w:sz w:val="24"/>
          <w:szCs w:val="24"/>
        </w:rPr>
      </w:pPr>
      <w:commentRangeStart w:id="27"/>
      <w:r>
        <w:rPr>
          <w:rFonts w:ascii="Calibri Light" w:hAnsi="Calibri Light" w:cs="Calibri Light"/>
          <w:b/>
          <w:bCs/>
          <w:sz w:val="24"/>
          <w:szCs w:val="24"/>
        </w:rPr>
        <w:t>Harvest Season (β = -1.2, p = 0.003, Odds Ratio = 3.32)</w:t>
      </w:r>
      <w:commentRangeEnd w:id="27"/>
      <w:r w:rsidR="00A71428">
        <w:rPr>
          <w:rStyle w:val="CommentReference"/>
        </w:rPr>
        <w:commentReference w:id="27"/>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lastRenderedPageBreak/>
        <w:t>The logistic regression analysis results indicate a significant relationship between the harvest season and men's participation in seaweed farming in Zanzibar. The coefficient (β) of -1.2 and a p-value of 0.003 demonstrate a statistically significant inverse relationship between the harvest season and participation. This indicates that men's likelihood of participating decreases or changes as the harvest season progresses.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The odds ratio of 3.32 suggests that men are significantly more likely to participate in seaweed farming during specific harvest periods. This negative coefficient implies that factors such as resource availability, market demand, or perceived profitability associated with different times of the year may influence men's participation. These findings are consistent with Fitriana (2017), who noted that men typically adjust their labor contributions based on the harvest season, increasing their involvement during peak production times to maximize yields. This influences both their labor allocation and decision-making processes.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In the livelihood's framework, the harvest season directly affects economic viability. Men who can effectively navigate the seasonality of seaweed farming by understanding when to plant and harvest are more likely to maximize their earnings. This ability to adapt to seasonal variations represents a form of resilience in their livelihood strategies, enabling them to make informed decisions about when to engage in seaweed farming versus pursuing other livelihood options.</w:t>
      </w:r>
    </w:p>
    <w:p w:rsidR="001823E0" w:rsidRDefault="009C58BB">
      <w:pPr>
        <w:spacing w:line="360" w:lineRule="auto"/>
        <w:jc w:val="both"/>
        <w:rPr>
          <w:rFonts w:ascii="Calibri Light" w:hAnsi="Calibri Light" w:cs="Calibri Light"/>
          <w:b/>
          <w:sz w:val="24"/>
          <w:szCs w:val="24"/>
        </w:rPr>
      </w:pPr>
      <w:r>
        <w:rPr>
          <w:rFonts w:ascii="Calibri Light" w:hAnsi="Calibri Light" w:cs="Calibri Light"/>
          <w:b/>
          <w:sz w:val="24"/>
          <w:szCs w:val="24"/>
        </w:rPr>
        <w:t>Conclusion and Recommendations</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Conclusion</w:t>
      </w:r>
    </w:p>
    <w:p w:rsidR="001823E0" w:rsidRDefault="009C58BB">
      <w:pPr>
        <w:spacing w:line="360" w:lineRule="auto"/>
        <w:jc w:val="both"/>
        <w:rPr>
          <w:rFonts w:ascii="Calibri Light" w:hAnsi="Calibri Light" w:cs="Calibri Light"/>
          <w:bCs/>
          <w:sz w:val="24"/>
          <w:szCs w:val="24"/>
        </w:rPr>
      </w:pPr>
      <w:r>
        <w:rPr>
          <w:rFonts w:ascii="Calibri Light" w:hAnsi="Calibri Light" w:cs="Calibri Light"/>
          <w:bCs/>
          <w:sz w:val="24"/>
          <w:szCs w:val="24"/>
        </w:rPr>
        <w:t>The study found that only 22% of men are involved in seaweed farming due to socio-economic and cultural barriers. This low participation is largely attributed to societal expectations of masculinity and fear of social stigma. Additionally, men tend to operate on small plots, which limits their economic returns and financial resources. Traditional off-bottom farming methods are prevalent among seaweed farmers, and they primarily rely on household savings as their source of capital.</w:t>
      </w:r>
    </w:p>
    <w:p w:rsidR="001823E0" w:rsidRDefault="009C58BB">
      <w:pPr>
        <w:spacing w:line="360" w:lineRule="auto"/>
        <w:jc w:val="both"/>
        <w:rPr>
          <w:rFonts w:ascii="Calibri Light" w:hAnsi="Calibri Light" w:cs="Calibri Light"/>
          <w:bCs/>
          <w:sz w:val="24"/>
          <w:szCs w:val="24"/>
        </w:rPr>
      </w:pPr>
      <w:r>
        <w:rPr>
          <w:rFonts w:ascii="Calibri Light" w:hAnsi="Calibri Light" w:cs="Calibri Light"/>
          <w:bCs/>
          <w:sz w:val="24"/>
          <w:szCs w:val="24"/>
        </w:rPr>
        <w:t>The study also identified various factors that significantly affect men's participation in seaweed farming in Zanzibar. Factors such as education level and market access were key influencers. However, high input costs, cultural stigma, the lengthy harvest period, and challenges related to climate change and health issues further influence men's participation in seaweed farming.</w:t>
      </w:r>
    </w:p>
    <w:p w:rsidR="001823E0" w:rsidRDefault="009C58BB">
      <w:pPr>
        <w:spacing w:line="360" w:lineRule="auto"/>
        <w:jc w:val="both"/>
        <w:rPr>
          <w:rFonts w:ascii="Calibri Light" w:hAnsi="Calibri Light" w:cs="Calibri Light"/>
          <w:b/>
          <w:sz w:val="24"/>
          <w:szCs w:val="24"/>
        </w:rPr>
      </w:pPr>
      <w:r>
        <w:rPr>
          <w:rFonts w:ascii="Calibri Light" w:hAnsi="Calibri Light" w:cs="Calibri Light"/>
          <w:b/>
          <w:sz w:val="24"/>
          <w:szCs w:val="24"/>
        </w:rPr>
        <w:lastRenderedPageBreak/>
        <w:t>Recommendations</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Based on this study, it is recommended that stakeholders such as the government, NGOs, FBOs, and individuals implement community awareness campaigns and gender-sensitive programs to challenge cultural norms that frame seaweed farming as "women's work." This can reduce the stigma men face and encourage broader participation. The responsible government ministries should improve market structures and provide better price incentives to increase the profitability of seaweed farming. This could involve connecting farmers to more lucrative markets, stabilizing prices, providing subsidies, affordable inputs, and financial assistance through credit facilities to reduce the high costs associated with seaweed farming. This will help make the sector more attractive and profitable for men. Additionally, it is important to encourage land reforms or initiatives that grant male seaweed farmers access to larger plots of land, enabling them to scale their operations and improve economic returns. Moreover, the long-term impacts of climate change and health issues on seaweed farming should be addressed through sustainable practices and health interventions to safeguard the sector's future.</w:t>
      </w:r>
    </w:p>
    <w:p w:rsidR="001823E0" w:rsidRDefault="009C58BB">
      <w:pPr>
        <w:spacing w:line="360" w:lineRule="auto"/>
        <w:jc w:val="both"/>
        <w:rPr>
          <w:rFonts w:ascii="Calibri Light" w:hAnsi="Calibri Light" w:cs="Calibri Light"/>
          <w:b/>
          <w:bCs/>
          <w:sz w:val="24"/>
          <w:szCs w:val="24"/>
        </w:rPr>
      </w:pPr>
      <w:r>
        <w:rPr>
          <w:rFonts w:ascii="Calibri Light" w:hAnsi="Calibri Light" w:cs="Calibri Light"/>
          <w:b/>
          <w:bCs/>
          <w:sz w:val="24"/>
          <w:szCs w:val="24"/>
        </w:rPr>
        <w:t>Data Availability</w:t>
      </w:r>
    </w:p>
    <w:p w:rsidR="001823E0" w:rsidRDefault="009C58BB">
      <w:pPr>
        <w:spacing w:line="360" w:lineRule="auto"/>
        <w:jc w:val="both"/>
        <w:rPr>
          <w:rFonts w:ascii="Calibri Light" w:hAnsi="Calibri Light" w:cs="Calibri Light"/>
          <w:sz w:val="24"/>
          <w:szCs w:val="24"/>
        </w:rPr>
      </w:pPr>
      <w:r>
        <w:rPr>
          <w:rFonts w:ascii="Calibri Light" w:hAnsi="Calibri Light" w:cs="Calibri Light"/>
          <w:sz w:val="24"/>
          <w:szCs w:val="24"/>
        </w:rPr>
        <w:t>The data supporting the findings of this study are available upon reasonable request from the corresponding author.</w:t>
      </w:r>
    </w:p>
    <w:p w:rsidR="001823E0" w:rsidRDefault="001823E0">
      <w:pPr>
        <w:spacing w:line="360" w:lineRule="auto"/>
        <w:jc w:val="both"/>
        <w:rPr>
          <w:rFonts w:ascii="Calibri Light" w:hAnsi="Calibri Light" w:cs="Calibri Light"/>
          <w:b/>
          <w:sz w:val="24"/>
          <w:szCs w:val="24"/>
          <w:lang w:val="pl-PL"/>
        </w:rPr>
      </w:pPr>
    </w:p>
    <w:p w:rsidR="001823E0" w:rsidRDefault="009C58BB">
      <w:pPr>
        <w:spacing w:line="360" w:lineRule="auto"/>
        <w:jc w:val="both"/>
        <w:rPr>
          <w:rFonts w:ascii="Calibri Light" w:hAnsi="Calibri Light" w:cs="Calibri Light"/>
          <w:b/>
          <w:sz w:val="24"/>
          <w:szCs w:val="24"/>
          <w:lang w:val="pl-PL"/>
        </w:rPr>
      </w:pPr>
      <w:r>
        <w:rPr>
          <w:rFonts w:ascii="Calibri Light" w:hAnsi="Calibri Light" w:cs="Calibri Light"/>
          <w:b/>
          <w:sz w:val="24"/>
          <w:szCs w:val="24"/>
          <w:lang w:val="pl-PL"/>
        </w:rPr>
        <w:t>References</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iCs/>
          <w:lang w:val="pl-PL"/>
        </w:rPr>
        <w:t xml:space="preserve">Abebe, Ejigu., Dereje, Teklemariam. </w:t>
      </w:r>
      <w:r>
        <w:rPr>
          <w:rFonts w:ascii="Calibri Light" w:hAnsi="Calibri Light" w:cs="Calibri Light"/>
          <w:iCs/>
        </w:rPr>
        <w:t xml:space="preserve">(2016). 1. Entrepreneurship Drivers in the Non-farming Sector: Rural-Urban Contrast. </w:t>
      </w:r>
      <w:bookmarkStart w:id="28" w:name="_Hlk180435967"/>
      <w:r>
        <w:rPr>
          <w:rFonts w:ascii="Calibri Light" w:hAnsi="Calibri Light" w:cs="Calibri Light"/>
          <w:iCs/>
        </w:rPr>
        <w:t>https://doi.org/</w:t>
      </w:r>
      <w:bookmarkEnd w:id="28"/>
      <w:r>
        <w:rPr>
          <w:rFonts w:ascii="Calibri Light" w:hAnsi="Calibri Light" w:cs="Calibri Light"/>
          <w:iCs/>
        </w:rPr>
        <w:t>10.4314/EJBE.V6I2.</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t>AfriDev Economic Consulting Limited. (2021). </w:t>
      </w:r>
      <w:r>
        <w:rPr>
          <w:rFonts w:ascii="Calibri Light" w:hAnsi="Calibri Light" w:cs="Calibri Light"/>
          <w:i/>
          <w:iCs/>
        </w:rPr>
        <w:t>Baseline and value chain evaluation of seaweed farming in Zanzibar</w:t>
      </w:r>
      <w:r>
        <w:rPr>
          <w:rFonts w:ascii="Calibri Light" w:hAnsi="Calibri Light" w:cs="Calibri Light"/>
        </w:rPr>
        <w:t>. Good Neighbors Tanzania.</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t xml:space="preserve">Agholor, A., Ogujiuba, K., &amp; Shongwe, I. (2023). Determinants of small farmers access to agricultural markets in South Africa. </w:t>
      </w:r>
      <w:r>
        <w:rPr>
          <w:rFonts w:ascii="Calibri Light" w:hAnsi="Calibri Light" w:cs="Calibri Light"/>
          <w:i/>
          <w:iCs/>
        </w:rPr>
        <w:t>Agricultural Science and Technology</w:t>
      </w:r>
      <w:r>
        <w:rPr>
          <w:rFonts w:ascii="Calibri Light" w:hAnsi="Calibri Light" w:cs="Calibri Light"/>
        </w:rPr>
        <w:t xml:space="preserve">, </w:t>
      </w:r>
      <w:r>
        <w:rPr>
          <w:rFonts w:ascii="Calibri Light" w:hAnsi="Calibri Light" w:cs="Calibri Light"/>
          <w:i/>
          <w:iCs/>
        </w:rPr>
        <w:t>15</w:t>
      </w:r>
      <w:r>
        <w:rPr>
          <w:rFonts w:ascii="Calibri Light" w:hAnsi="Calibri Light" w:cs="Calibri Light"/>
        </w:rPr>
        <w:t xml:space="preserve">(1), 80–87. </w:t>
      </w:r>
      <w:hyperlink r:id="rId9" w:history="1">
        <w:r>
          <w:rPr>
            <w:rStyle w:val="Hyperlink"/>
            <w:rFonts w:ascii="Calibri Light" w:hAnsi="Calibri Light" w:cs="Calibri Light"/>
            <w:color w:val="auto"/>
          </w:rPr>
          <w:t>https://doi.org/10.15547/ast.2023.01.010</w:t>
        </w:r>
      </w:hyperlink>
      <w:r>
        <w:rPr>
          <w:rFonts w:ascii="Calibri Light" w:hAnsi="Calibri Light" w:cs="Calibri Light"/>
        </w:rPr>
        <w:t>.</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t xml:space="preserve">Apura, E. L. (2022). The impact of seaweed farming on marital and reproductive role satisfaction. </w:t>
      </w:r>
      <w:r>
        <w:rPr>
          <w:rFonts w:ascii="Calibri Light" w:hAnsi="Calibri Light" w:cs="Calibri Light"/>
          <w:i/>
          <w:iCs/>
        </w:rPr>
        <w:t>International Journal of Science and Management Studies (IJSMS)</w:t>
      </w:r>
      <w:r>
        <w:rPr>
          <w:rFonts w:ascii="Calibri Light" w:hAnsi="Calibri Light" w:cs="Calibri Light"/>
        </w:rPr>
        <w:t xml:space="preserve">, 20–33. </w:t>
      </w:r>
      <w:r>
        <w:rPr>
          <w:rStyle w:val="url"/>
          <w:rFonts w:ascii="Calibri Light" w:hAnsi="Calibri Light" w:cs="Calibri Light"/>
        </w:rPr>
        <w:t>https://doi.org/10.51386/25815946/ijsms-v5i2p103</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iCs/>
        </w:rPr>
        <w:t xml:space="preserve">Ashley, C., &amp; Carney, D. (1999). Sustainable livelihoods: Lessons from early experience. </w:t>
      </w:r>
      <w:r>
        <w:rPr>
          <w:rFonts w:ascii="Calibri Light" w:hAnsi="Calibri Light" w:cs="Calibri Light"/>
          <w:i/>
        </w:rPr>
        <w:t>Department for International Development.</w:t>
      </w:r>
    </w:p>
    <w:p w:rsidR="001823E0" w:rsidRPr="00390E30" w:rsidRDefault="009C58BB">
      <w:pPr>
        <w:pStyle w:val="ListParagraph"/>
        <w:numPr>
          <w:ilvl w:val="0"/>
          <w:numId w:val="11"/>
        </w:numPr>
        <w:spacing w:line="240" w:lineRule="auto"/>
        <w:jc w:val="both"/>
        <w:rPr>
          <w:rFonts w:ascii="Calibri Light" w:hAnsi="Calibri Light" w:cs="Calibri Light"/>
          <w:iCs/>
          <w:highlight w:val="yellow"/>
        </w:rPr>
      </w:pPr>
      <w:r w:rsidRPr="00390E30">
        <w:rPr>
          <w:rFonts w:ascii="Calibri Light" w:hAnsi="Calibri Light" w:cs="Calibri Light"/>
          <w:iCs/>
          <w:highlight w:val="yellow"/>
        </w:rPr>
        <w:t>Ashurst, J; Onyango, J.; Achieng, G. F.; Ouma, M. D. (2024). Intersectional Development: How Seaweed Farming in Kwale County, Kenya Can Foster Inclusive and Transformational Development. </w:t>
      </w:r>
      <w:r w:rsidRPr="00390E30">
        <w:rPr>
          <w:rFonts w:ascii="Calibri Light" w:hAnsi="Calibri Light" w:cs="Calibri Light"/>
          <w:i/>
          <w:iCs/>
          <w:highlight w:val="yellow"/>
        </w:rPr>
        <w:t>Preprints</w:t>
      </w:r>
      <w:r w:rsidRPr="00390E30">
        <w:rPr>
          <w:rFonts w:ascii="Calibri Light" w:hAnsi="Calibri Light" w:cs="Calibri Light"/>
          <w:iCs/>
          <w:highlight w:val="yellow"/>
        </w:rPr>
        <w:t xml:space="preserve">, 2024031261. </w:t>
      </w:r>
      <w:hyperlink r:id="rId10" w:history="1">
        <w:r w:rsidRPr="00390E30">
          <w:rPr>
            <w:rStyle w:val="Hyperlink"/>
            <w:rFonts w:ascii="Calibri Light" w:hAnsi="Calibri Light" w:cs="Calibri Light"/>
            <w:iCs/>
            <w:color w:val="auto"/>
            <w:highlight w:val="yellow"/>
          </w:rPr>
          <w:t>https://doi.org/10.20944/preprints202403.1261.v1</w:t>
        </w:r>
      </w:hyperlink>
      <w:r w:rsidRPr="00390E30">
        <w:rPr>
          <w:rFonts w:ascii="Calibri Light" w:hAnsi="Calibri Light" w:cs="Calibri Light"/>
          <w:iCs/>
          <w:highlight w:val="yellow"/>
        </w:rPr>
        <w:t>.</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lastRenderedPageBreak/>
        <w:t xml:space="preserve">Avieli, N., &amp; Sermoneta, T. (2020). Maasai on the phone: materiality, tourism, and the extraordinary in Zanzibar. </w:t>
      </w:r>
      <w:r>
        <w:rPr>
          <w:rFonts w:ascii="Calibri Light" w:hAnsi="Calibri Light" w:cs="Calibri Light"/>
          <w:i/>
          <w:iCs/>
        </w:rPr>
        <w:t>Humanities and Social Sciences Communications</w:t>
      </w:r>
      <w:r>
        <w:rPr>
          <w:rFonts w:ascii="Calibri Light" w:hAnsi="Calibri Light" w:cs="Calibri Light"/>
        </w:rPr>
        <w:t xml:space="preserve">, </w:t>
      </w:r>
      <w:r>
        <w:rPr>
          <w:rFonts w:ascii="Calibri Light" w:hAnsi="Calibri Light" w:cs="Calibri Light"/>
          <w:i/>
          <w:iCs/>
        </w:rPr>
        <w:t>7</w:t>
      </w:r>
      <w:r>
        <w:rPr>
          <w:rFonts w:ascii="Calibri Light" w:hAnsi="Calibri Light" w:cs="Calibri Light"/>
        </w:rPr>
        <w:t xml:space="preserve">(1). </w:t>
      </w:r>
      <w:r>
        <w:rPr>
          <w:rStyle w:val="url"/>
          <w:rFonts w:ascii="Calibri Light" w:hAnsi="Calibri Light" w:cs="Calibri Light"/>
        </w:rPr>
        <w:t>https://doi.org/10.1057/s41599-020-00607-7</w:t>
      </w:r>
    </w:p>
    <w:p w:rsidR="001823E0" w:rsidRDefault="009C58BB">
      <w:pPr>
        <w:pStyle w:val="NormalWeb"/>
        <w:numPr>
          <w:ilvl w:val="0"/>
          <w:numId w:val="11"/>
        </w:numPr>
        <w:spacing w:before="0" w:beforeAutospacing="0" w:after="0" w:afterAutospacing="0"/>
        <w:jc w:val="both"/>
        <w:rPr>
          <w:rStyle w:val="url"/>
          <w:rFonts w:ascii="Calibri Light" w:hAnsi="Calibri Light" w:cs="Calibri Light"/>
        </w:rPr>
      </w:pPr>
      <w:r>
        <w:rPr>
          <w:rFonts w:ascii="Calibri Light" w:hAnsi="Calibri Light" w:cs="Calibri Light"/>
        </w:rPr>
        <w:t xml:space="preserve">Balana, B. B., &amp; Oyeyemi, M. A. (2022). Agricultural credit constraints in smallholder farming in developing countries: Evidence from Nigeria. </w:t>
      </w:r>
      <w:r>
        <w:rPr>
          <w:rFonts w:ascii="Calibri Light" w:hAnsi="Calibri Light" w:cs="Calibri Light"/>
          <w:i/>
          <w:iCs/>
        </w:rPr>
        <w:t>World Development Sustainability</w:t>
      </w:r>
      <w:r>
        <w:rPr>
          <w:rFonts w:ascii="Calibri Light" w:hAnsi="Calibri Light" w:cs="Calibri Light"/>
        </w:rPr>
        <w:t xml:space="preserve">, </w:t>
      </w:r>
      <w:r>
        <w:rPr>
          <w:rFonts w:ascii="Calibri Light" w:hAnsi="Calibri Light" w:cs="Calibri Light"/>
          <w:i/>
          <w:iCs/>
        </w:rPr>
        <w:t>1</w:t>
      </w:r>
      <w:r>
        <w:rPr>
          <w:rFonts w:ascii="Calibri Light" w:hAnsi="Calibri Light" w:cs="Calibri Light"/>
        </w:rPr>
        <w:t xml:space="preserve">, 100012. </w:t>
      </w:r>
      <w:hyperlink r:id="rId11" w:history="1">
        <w:r>
          <w:rPr>
            <w:rStyle w:val="Hyperlink"/>
            <w:rFonts w:ascii="Calibri Light" w:hAnsi="Calibri Light" w:cs="Calibri Light"/>
            <w:color w:val="auto"/>
          </w:rPr>
          <w:t>https://doi.org/10.1016/j.wds.2022.100012</w:t>
        </w:r>
      </w:hyperlink>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iCs/>
          <w:lang w:val="de-DE"/>
        </w:rPr>
        <w:t xml:space="preserve">Benansio, J. S., Wolff, M., Breckwoldt, A., Jiddawi. </w:t>
      </w:r>
      <w:r>
        <w:rPr>
          <w:rFonts w:ascii="Calibri Light" w:hAnsi="Calibri Light" w:cs="Calibri Light"/>
          <w:iCs/>
        </w:rPr>
        <w:t>N. (2016). Have the fishing communities of Zanzibar Island benefited from increasing tourism development? </w:t>
      </w:r>
      <w:r>
        <w:rPr>
          <w:rFonts w:ascii="Calibri Light" w:hAnsi="Calibri Light" w:cs="Calibri Light"/>
          <w:i/>
          <w:iCs/>
        </w:rPr>
        <w:t>Journal of Development and Agricultural Economics</w:t>
      </w:r>
      <w:r>
        <w:rPr>
          <w:rFonts w:ascii="Calibri Light" w:hAnsi="Calibri Light" w:cs="Calibri Light"/>
          <w:iCs/>
        </w:rPr>
        <w:t>, </w:t>
      </w:r>
      <w:r>
        <w:rPr>
          <w:rFonts w:ascii="Calibri Light" w:hAnsi="Calibri Light" w:cs="Calibri Light"/>
          <w:i/>
          <w:iCs/>
        </w:rPr>
        <w:t>8</w:t>
      </w:r>
      <w:r>
        <w:rPr>
          <w:rFonts w:ascii="Calibri Light" w:hAnsi="Calibri Light" w:cs="Calibri Light"/>
          <w:iCs/>
        </w:rPr>
        <w:t>(5), 95–107. </w:t>
      </w:r>
      <w:hyperlink r:id="rId12" w:history="1">
        <w:r>
          <w:rPr>
            <w:rStyle w:val="Hyperlink"/>
            <w:rFonts w:ascii="Calibri Light" w:hAnsi="Calibri Light" w:cs="Calibri Light"/>
            <w:iCs/>
            <w:color w:val="auto"/>
          </w:rPr>
          <w:t>https://doi.org/10.5897/jdae2016.0727</w:t>
        </w:r>
      </w:hyperlink>
      <w:r>
        <w:rPr>
          <w:rFonts w:ascii="Calibri Light" w:hAnsi="Calibri Light" w:cs="Calibri Light"/>
          <w:iCs/>
        </w:rPr>
        <w:t>.</w:t>
      </w:r>
    </w:p>
    <w:p w:rsidR="001823E0" w:rsidRPr="00A71428" w:rsidRDefault="009C58BB">
      <w:pPr>
        <w:pStyle w:val="ListParagraph"/>
        <w:numPr>
          <w:ilvl w:val="0"/>
          <w:numId w:val="11"/>
        </w:numPr>
        <w:spacing w:line="240" w:lineRule="auto"/>
        <w:jc w:val="both"/>
        <w:rPr>
          <w:rFonts w:ascii="Calibri Light" w:hAnsi="Calibri Light" w:cs="Calibri Light"/>
          <w:iCs/>
          <w:highlight w:val="yellow"/>
        </w:rPr>
      </w:pPr>
      <w:r w:rsidRPr="00A71428">
        <w:rPr>
          <w:rFonts w:ascii="Calibri Light" w:hAnsi="Calibri Light" w:cs="Calibri Light"/>
          <w:highlight w:val="yellow"/>
          <w:lang w:val="de-DE"/>
        </w:rPr>
        <w:t xml:space="preserve">Brierley, A. S., &amp; Kingsford, M. J. (2009). </w:t>
      </w:r>
      <w:r w:rsidRPr="00A71428">
        <w:rPr>
          <w:rFonts w:ascii="Calibri Light" w:hAnsi="Calibri Light" w:cs="Calibri Light"/>
          <w:highlight w:val="yellow"/>
        </w:rPr>
        <w:t xml:space="preserve">Impacts of Climate Change on Marine Organisms and Ecosystems. </w:t>
      </w:r>
      <w:r w:rsidRPr="00A71428">
        <w:rPr>
          <w:rFonts w:ascii="Calibri Light" w:hAnsi="Calibri Light" w:cs="Calibri Light"/>
          <w:i/>
          <w:iCs/>
          <w:highlight w:val="yellow"/>
        </w:rPr>
        <w:t>Current Biology</w:t>
      </w:r>
      <w:r w:rsidRPr="00A71428">
        <w:rPr>
          <w:rFonts w:ascii="Calibri Light" w:hAnsi="Calibri Light" w:cs="Calibri Light"/>
          <w:highlight w:val="yellow"/>
        </w:rPr>
        <w:t xml:space="preserve">, </w:t>
      </w:r>
      <w:r w:rsidRPr="00A71428">
        <w:rPr>
          <w:rFonts w:ascii="Calibri Light" w:hAnsi="Calibri Light" w:cs="Calibri Light"/>
          <w:i/>
          <w:iCs/>
          <w:highlight w:val="yellow"/>
        </w:rPr>
        <w:t>19</w:t>
      </w:r>
      <w:r w:rsidRPr="00A71428">
        <w:rPr>
          <w:rFonts w:ascii="Calibri Light" w:hAnsi="Calibri Light" w:cs="Calibri Light"/>
          <w:highlight w:val="yellow"/>
        </w:rPr>
        <w:t xml:space="preserve">(14), R602–R614. </w:t>
      </w:r>
      <w:r w:rsidRPr="00A71428">
        <w:rPr>
          <w:rStyle w:val="url"/>
          <w:rFonts w:ascii="Calibri Light" w:hAnsi="Calibri Light" w:cs="Calibri Light"/>
          <w:highlight w:val="yellow"/>
        </w:rPr>
        <w:t>https://doi.org/10.1016/j.cub.2009.05.046</w:t>
      </w:r>
    </w:p>
    <w:p w:rsidR="001823E0" w:rsidRPr="00A71428" w:rsidRDefault="009C58BB">
      <w:pPr>
        <w:pStyle w:val="ListParagraph"/>
        <w:numPr>
          <w:ilvl w:val="0"/>
          <w:numId w:val="11"/>
        </w:numPr>
        <w:spacing w:line="240" w:lineRule="auto"/>
        <w:jc w:val="both"/>
        <w:rPr>
          <w:rFonts w:ascii="Calibri Light" w:hAnsi="Calibri Light" w:cs="Calibri Light"/>
          <w:iCs/>
          <w:highlight w:val="yellow"/>
        </w:rPr>
      </w:pPr>
      <w:r w:rsidRPr="00A71428">
        <w:rPr>
          <w:rFonts w:ascii="Calibri Light" w:hAnsi="Calibri Light" w:cs="Calibri Light"/>
          <w:iCs/>
          <w:highlight w:val="yellow"/>
        </w:rPr>
        <w:t xml:space="preserve">Brugere, C., Msuya, F. E., Jiddawi, N., Nyonje, B., &amp; Maly, R. (2020). Can innovation empower? Reflections on introducing tubular nets to women seaweed farmers in Zanzibar. </w:t>
      </w:r>
      <w:r w:rsidRPr="00A71428">
        <w:rPr>
          <w:rFonts w:ascii="Calibri Light" w:hAnsi="Calibri Light" w:cs="Calibri Light"/>
          <w:i/>
          <w:highlight w:val="yellow"/>
        </w:rPr>
        <w:t>Gender Technology and Development</w:t>
      </w:r>
      <w:r w:rsidRPr="00A71428">
        <w:rPr>
          <w:rFonts w:ascii="Calibri Light" w:hAnsi="Calibri Light" w:cs="Calibri Light"/>
          <w:iCs/>
          <w:highlight w:val="yellow"/>
        </w:rPr>
        <w:t xml:space="preserve">, 24(1), 89–109. </w:t>
      </w:r>
      <w:hyperlink r:id="rId13" w:history="1">
        <w:r w:rsidRPr="00A71428">
          <w:rPr>
            <w:rStyle w:val="Hyperlink"/>
            <w:rFonts w:ascii="Calibri Light" w:hAnsi="Calibri Light" w:cs="Calibri Light"/>
            <w:iCs/>
            <w:color w:val="auto"/>
            <w:highlight w:val="yellow"/>
          </w:rPr>
          <w:t>https://doi.org/10.1080/09718524.2019.1695307</w:t>
        </w:r>
      </w:hyperlink>
      <w:r w:rsidRPr="00A71428">
        <w:rPr>
          <w:rFonts w:ascii="Calibri Light" w:hAnsi="Calibri Light" w:cs="Calibri Light"/>
          <w:iCs/>
          <w:highlight w:val="yellow"/>
        </w:rPr>
        <w:t>.</w:t>
      </w:r>
    </w:p>
    <w:p w:rsidR="001823E0" w:rsidRPr="00390E30" w:rsidRDefault="009C58BB">
      <w:pPr>
        <w:pStyle w:val="ListParagraph"/>
        <w:numPr>
          <w:ilvl w:val="0"/>
          <w:numId w:val="11"/>
        </w:numPr>
        <w:spacing w:line="240" w:lineRule="auto"/>
        <w:jc w:val="both"/>
        <w:rPr>
          <w:rFonts w:ascii="Calibri Light" w:hAnsi="Calibri Light" w:cs="Calibri Light"/>
          <w:iCs/>
          <w:highlight w:val="yellow"/>
        </w:rPr>
      </w:pPr>
      <w:r w:rsidRPr="00390E30">
        <w:rPr>
          <w:rFonts w:ascii="Calibri Light" w:hAnsi="Calibri Light" w:cs="Calibri Light"/>
          <w:iCs/>
          <w:highlight w:val="yellow"/>
        </w:rPr>
        <w:t xml:space="preserve">Connell, R. W. (2005). Masculinities (2nd ed.). </w:t>
      </w:r>
      <w:r w:rsidRPr="00390E30">
        <w:rPr>
          <w:rFonts w:ascii="Calibri Light" w:hAnsi="Calibri Light" w:cs="Calibri Light"/>
          <w:i/>
          <w:highlight w:val="yellow"/>
        </w:rPr>
        <w:t>University of California Press</w:t>
      </w:r>
      <w:r w:rsidRPr="00390E30">
        <w:rPr>
          <w:rFonts w:ascii="Calibri Light" w:hAnsi="Calibri Light" w:cs="Calibri Light"/>
          <w:iCs/>
          <w:highlight w:val="yellow"/>
        </w:rPr>
        <w:t>.</w:t>
      </w:r>
    </w:p>
    <w:p w:rsidR="001823E0" w:rsidRPr="008C7475" w:rsidRDefault="009C58BB">
      <w:pPr>
        <w:pStyle w:val="ListParagraph"/>
        <w:numPr>
          <w:ilvl w:val="0"/>
          <w:numId w:val="11"/>
        </w:numPr>
        <w:spacing w:line="240" w:lineRule="auto"/>
        <w:jc w:val="both"/>
        <w:rPr>
          <w:rFonts w:ascii="Calibri Light" w:hAnsi="Calibri Light" w:cs="Calibri Light"/>
          <w:iCs/>
          <w:highlight w:val="yellow"/>
        </w:rPr>
      </w:pPr>
      <w:r w:rsidRPr="008C7475">
        <w:rPr>
          <w:rFonts w:ascii="Calibri Light" w:hAnsi="Calibri Light" w:cs="Calibri Light"/>
          <w:highlight w:val="yellow"/>
          <w:lang w:val="de-DE"/>
        </w:rPr>
        <w:t xml:space="preserve">Croft, A., Schmader, T., &amp; Block, K. (2015). </w:t>
      </w:r>
      <w:r w:rsidRPr="008C7475">
        <w:rPr>
          <w:rFonts w:ascii="Calibri Light" w:hAnsi="Calibri Light" w:cs="Calibri Light"/>
          <w:highlight w:val="yellow"/>
        </w:rPr>
        <w:t xml:space="preserve">An underexamined inequality. </w:t>
      </w:r>
      <w:r w:rsidRPr="008C7475">
        <w:rPr>
          <w:rFonts w:ascii="Calibri Light" w:hAnsi="Calibri Light" w:cs="Calibri Light"/>
          <w:i/>
          <w:iCs/>
          <w:highlight w:val="yellow"/>
        </w:rPr>
        <w:t>Personality and Social Psychology Review</w:t>
      </w:r>
      <w:r w:rsidRPr="008C7475">
        <w:rPr>
          <w:rFonts w:ascii="Calibri Light" w:hAnsi="Calibri Light" w:cs="Calibri Light"/>
          <w:highlight w:val="yellow"/>
        </w:rPr>
        <w:t xml:space="preserve">, </w:t>
      </w:r>
      <w:r w:rsidRPr="008C7475">
        <w:rPr>
          <w:rFonts w:ascii="Calibri Light" w:hAnsi="Calibri Light" w:cs="Calibri Light"/>
          <w:i/>
          <w:iCs/>
          <w:highlight w:val="yellow"/>
        </w:rPr>
        <w:t>19</w:t>
      </w:r>
      <w:r w:rsidRPr="008C7475">
        <w:rPr>
          <w:rFonts w:ascii="Calibri Light" w:hAnsi="Calibri Light" w:cs="Calibri Light"/>
          <w:highlight w:val="yellow"/>
        </w:rPr>
        <w:t xml:space="preserve">(4), 343–370. </w:t>
      </w:r>
      <w:r w:rsidRPr="008C7475">
        <w:rPr>
          <w:rStyle w:val="url"/>
          <w:rFonts w:ascii="Calibri Light" w:hAnsi="Calibri Light" w:cs="Calibri Light"/>
          <w:highlight w:val="yellow"/>
        </w:rPr>
        <w:t>https://doi.org/10.1177/1088868314564789.</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t xml:space="preserve">FAO, (2014). Youth and agriculture key challenges and concrete solutions. </w:t>
      </w:r>
      <w:r>
        <w:rPr>
          <w:rFonts w:ascii="Calibri Light" w:hAnsi="Calibri Light" w:cs="Calibri Light"/>
          <w:i/>
          <w:iCs/>
        </w:rPr>
        <w:t>The Food and Agriculture Organization of the United Nations (FAO), in collaboration with the Technical Centre for Agricultural and Rural Cooperation (CTA) and the International Fund for Agricultural Development (IFAD)</w:t>
      </w:r>
      <w:r>
        <w:rPr>
          <w:rFonts w:ascii="Calibri Light" w:hAnsi="Calibri Light" w:cs="Calibri Light"/>
        </w:rPr>
        <w:t>.</w:t>
      </w:r>
    </w:p>
    <w:p w:rsidR="001823E0" w:rsidRPr="00A71428" w:rsidRDefault="009C58BB">
      <w:pPr>
        <w:pStyle w:val="ListParagraph"/>
        <w:numPr>
          <w:ilvl w:val="0"/>
          <w:numId w:val="11"/>
        </w:numPr>
        <w:spacing w:line="240" w:lineRule="auto"/>
        <w:jc w:val="both"/>
        <w:rPr>
          <w:rFonts w:ascii="Calibri Light" w:hAnsi="Calibri Light" w:cs="Calibri Light"/>
          <w:iCs/>
          <w:highlight w:val="yellow"/>
        </w:rPr>
      </w:pPr>
      <w:r w:rsidRPr="00A71428">
        <w:rPr>
          <w:rFonts w:ascii="Calibri Light" w:hAnsi="Calibri Light" w:cs="Calibri Light"/>
          <w:highlight w:val="yellow"/>
        </w:rPr>
        <w:t xml:space="preserve">Fitriana, R. (2017). Gendered Participation in Seaweed Production - Examples from Indonesia. </w:t>
      </w:r>
      <w:r w:rsidRPr="00A71428">
        <w:rPr>
          <w:rFonts w:ascii="Calibri Light" w:hAnsi="Calibri Light" w:cs="Calibri Light"/>
          <w:i/>
          <w:iCs/>
          <w:highlight w:val="yellow"/>
        </w:rPr>
        <w:t>Asian Fisheries Science</w:t>
      </w:r>
      <w:r w:rsidRPr="00A71428">
        <w:rPr>
          <w:rFonts w:ascii="Calibri Light" w:hAnsi="Calibri Light" w:cs="Calibri Light"/>
          <w:highlight w:val="yellow"/>
        </w:rPr>
        <w:t xml:space="preserve">, </w:t>
      </w:r>
      <w:r w:rsidRPr="00A71428">
        <w:rPr>
          <w:rFonts w:ascii="Calibri Light" w:hAnsi="Calibri Light" w:cs="Calibri Light"/>
          <w:i/>
          <w:iCs/>
          <w:highlight w:val="yellow"/>
        </w:rPr>
        <w:t>30S</w:t>
      </w:r>
      <w:r w:rsidRPr="00A71428">
        <w:rPr>
          <w:rFonts w:ascii="Calibri Light" w:hAnsi="Calibri Light" w:cs="Calibri Light"/>
          <w:highlight w:val="yellow"/>
        </w:rPr>
        <w:t xml:space="preserve">. </w:t>
      </w:r>
      <w:r w:rsidRPr="00A71428">
        <w:rPr>
          <w:rStyle w:val="url"/>
          <w:rFonts w:ascii="Calibri Light" w:hAnsi="Calibri Light" w:cs="Calibri Light"/>
          <w:highlight w:val="yellow"/>
        </w:rPr>
        <w:t>https://doi.org/10.33997/j.afs.2017.30.s1.013.</w:t>
      </w:r>
    </w:p>
    <w:p w:rsidR="001823E0" w:rsidRDefault="009C58BB">
      <w:pPr>
        <w:pStyle w:val="ListParagraph"/>
        <w:numPr>
          <w:ilvl w:val="0"/>
          <w:numId w:val="11"/>
        </w:numPr>
        <w:spacing w:line="240" w:lineRule="auto"/>
        <w:jc w:val="both"/>
        <w:rPr>
          <w:rStyle w:val="url"/>
          <w:rFonts w:ascii="Calibri Light" w:hAnsi="Calibri Light" w:cs="Calibri Light"/>
          <w:iCs/>
          <w:lang w:val="it-IT"/>
        </w:rPr>
      </w:pPr>
      <w:r>
        <w:rPr>
          <w:rFonts w:ascii="Calibri Light" w:hAnsi="Calibri Light" w:cs="Calibri Light"/>
          <w:lang w:val="it-IT"/>
        </w:rPr>
        <w:t xml:space="preserve">Fröcklin, S., De La Torre-Castro, M., Lindström, L., &amp; Jiddawi, N. S. (2013). </w:t>
      </w:r>
      <w:r>
        <w:rPr>
          <w:rFonts w:ascii="Calibri Light" w:hAnsi="Calibri Light" w:cs="Calibri Light"/>
        </w:rPr>
        <w:t xml:space="preserve">Fish Traders as key Actors in Fisheries: Gender and adaptive management. </w:t>
      </w:r>
      <w:r>
        <w:rPr>
          <w:rFonts w:ascii="Calibri Light" w:hAnsi="Calibri Light" w:cs="Calibri Light"/>
          <w:i/>
          <w:iCs/>
          <w:lang w:val="it-IT"/>
        </w:rPr>
        <w:t>AMBIO</w:t>
      </w:r>
      <w:r>
        <w:rPr>
          <w:rFonts w:ascii="Calibri Light" w:hAnsi="Calibri Light" w:cs="Calibri Light"/>
          <w:lang w:val="it-IT"/>
        </w:rPr>
        <w:t xml:space="preserve">, </w:t>
      </w:r>
      <w:r>
        <w:rPr>
          <w:rFonts w:ascii="Calibri Light" w:hAnsi="Calibri Light" w:cs="Calibri Light"/>
          <w:i/>
          <w:iCs/>
          <w:lang w:val="it-IT"/>
        </w:rPr>
        <w:t>42</w:t>
      </w:r>
      <w:r>
        <w:rPr>
          <w:rFonts w:ascii="Calibri Light" w:hAnsi="Calibri Light" w:cs="Calibri Light"/>
          <w:lang w:val="it-IT"/>
        </w:rPr>
        <w:t xml:space="preserve">(8), 951–962. </w:t>
      </w:r>
      <w:hyperlink r:id="rId14" w:history="1">
        <w:r>
          <w:rPr>
            <w:rStyle w:val="Hyperlink"/>
            <w:rFonts w:ascii="Calibri Light" w:hAnsi="Calibri Light" w:cs="Calibri Light"/>
            <w:color w:val="auto"/>
            <w:lang w:val="it-IT"/>
          </w:rPr>
          <w:t>https://doi.org/10.1007/s13280-013-0451-1</w:t>
        </w:r>
      </w:hyperlink>
      <w:r>
        <w:rPr>
          <w:rStyle w:val="url"/>
          <w:rFonts w:ascii="Calibri Light" w:hAnsi="Calibri Light" w:cs="Calibri Light"/>
          <w:lang w:val="it-IT"/>
        </w:rPr>
        <w:t>.</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lang w:val="it-IT"/>
        </w:rPr>
        <w:t xml:space="preserve">Hamad, W. A., Md, G., &amp; Islam, N. (2022). </w:t>
      </w:r>
      <w:r>
        <w:rPr>
          <w:rFonts w:ascii="Calibri Light" w:hAnsi="Calibri Light" w:cs="Calibri Light"/>
        </w:rPr>
        <w:t xml:space="preserve">Alternative Employment, Women Participation in Seaweed Farming and Livelihoods of Small-Scale Fishing Community in Zanzibar. </w:t>
      </w:r>
      <w:r>
        <w:rPr>
          <w:rFonts w:ascii="Calibri Light" w:hAnsi="Calibri Light" w:cs="Calibri Light"/>
          <w:i/>
          <w:iCs/>
        </w:rPr>
        <w:t>Journal of Positive School Psychology</w:t>
      </w:r>
      <w:r>
        <w:rPr>
          <w:rFonts w:ascii="Calibri Light" w:hAnsi="Calibri Light" w:cs="Calibri Light"/>
        </w:rPr>
        <w:t>, (6) 7, 2987-3000.</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t xml:space="preserve">Hassan, I. H., &amp; Othman, W. J. (2019). Seaweed (Mwani) farming as an adaptation strategy to impacts of climate change and variability in Zanzibar. </w:t>
      </w:r>
      <w:r>
        <w:rPr>
          <w:rFonts w:ascii="Calibri Light" w:hAnsi="Calibri Light" w:cs="Calibri Light"/>
          <w:i/>
          <w:iCs/>
        </w:rPr>
        <w:t>Springer Climate</w:t>
      </w:r>
      <w:r>
        <w:rPr>
          <w:rFonts w:ascii="Calibri Light" w:hAnsi="Calibri Light" w:cs="Calibri Light"/>
        </w:rPr>
        <w:t xml:space="preserve">, 53–68. https://doi.org/10.1007/978-3-030-04897-6_4 </w:t>
      </w:r>
    </w:p>
    <w:p w:rsidR="001823E0" w:rsidRDefault="009C58BB">
      <w:pPr>
        <w:pStyle w:val="ListParagraph"/>
        <w:numPr>
          <w:ilvl w:val="0"/>
          <w:numId w:val="11"/>
        </w:numPr>
        <w:spacing w:line="240" w:lineRule="auto"/>
        <w:jc w:val="both"/>
        <w:rPr>
          <w:rStyle w:val="url"/>
          <w:rFonts w:ascii="Calibri Light" w:hAnsi="Calibri Light" w:cs="Calibri Light"/>
          <w:iCs/>
        </w:rPr>
      </w:pPr>
      <w:r>
        <w:rPr>
          <w:rFonts w:ascii="Calibri Light" w:hAnsi="Calibri Light" w:cs="Calibri Light"/>
        </w:rPr>
        <w:t xml:space="preserve">Hjalmarsson, S. (2022). Pay to play? Economic constraints and participation in extracurricular activities. </w:t>
      </w:r>
      <w:r>
        <w:rPr>
          <w:rFonts w:ascii="Calibri Light" w:hAnsi="Calibri Light" w:cs="Calibri Light"/>
          <w:i/>
          <w:iCs/>
        </w:rPr>
        <w:t>European Sociological Review</w:t>
      </w:r>
      <w:r>
        <w:rPr>
          <w:rFonts w:ascii="Calibri Light" w:hAnsi="Calibri Light" w:cs="Calibri Light"/>
        </w:rPr>
        <w:t xml:space="preserve">, </w:t>
      </w:r>
      <w:r>
        <w:rPr>
          <w:rFonts w:ascii="Calibri Light" w:hAnsi="Calibri Light" w:cs="Calibri Light"/>
          <w:i/>
          <w:iCs/>
        </w:rPr>
        <w:t>39</w:t>
      </w:r>
      <w:r>
        <w:rPr>
          <w:rFonts w:ascii="Calibri Light" w:hAnsi="Calibri Light" w:cs="Calibri Light"/>
        </w:rPr>
        <w:t xml:space="preserve">(4), 586–600. </w:t>
      </w:r>
      <w:hyperlink r:id="rId15" w:history="1">
        <w:r>
          <w:rPr>
            <w:rStyle w:val="Hyperlink"/>
            <w:rFonts w:ascii="Calibri Light" w:hAnsi="Calibri Light" w:cs="Calibri Light"/>
            <w:color w:val="auto"/>
          </w:rPr>
          <w:t>https://doi.org/10.1093/esr/jcac061</w:t>
        </w:r>
      </w:hyperlink>
    </w:p>
    <w:p w:rsidR="001823E0" w:rsidRPr="009E1584" w:rsidRDefault="009C58BB">
      <w:pPr>
        <w:pStyle w:val="ListParagraph"/>
        <w:numPr>
          <w:ilvl w:val="0"/>
          <w:numId w:val="11"/>
        </w:numPr>
        <w:spacing w:line="240" w:lineRule="auto"/>
        <w:jc w:val="both"/>
        <w:rPr>
          <w:rFonts w:ascii="Calibri Light" w:hAnsi="Calibri Light" w:cs="Calibri Light"/>
          <w:iCs/>
          <w:highlight w:val="yellow"/>
          <w:lang w:val="en-US"/>
        </w:rPr>
      </w:pPr>
      <w:r w:rsidRPr="009E1584">
        <w:rPr>
          <w:rFonts w:ascii="Calibri Light" w:hAnsi="Calibri Light" w:cs="Calibri Light"/>
          <w:iCs/>
          <w:highlight w:val="yellow"/>
        </w:rPr>
        <w:t xml:space="preserve">IMF, (2024). </w:t>
      </w:r>
      <w:r w:rsidRPr="009E1584">
        <w:rPr>
          <w:rFonts w:ascii="Calibri Light" w:hAnsi="Calibri Light" w:cs="Calibri Light"/>
          <w:iCs/>
          <w:highlight w:val="yellow"/>
          <w:lang w:val="en-US"/>
        </w:rPr>
        <w:t>Interim Guidance Note on Mainstreaming Gender at the IMF. </w:t>
      </w:r>
      <w:r w:rsidRPr="009E1584">
        <w:rPr>
          <w:rFonts w:ascii="Calibri Light" w:hAnsi="Calibri Light" w:cs="Calibri Light"/>
          <w:i/>
          <w:highlight w:val="yellow"/>
          <w:lang w:val="en-US"/>
        </w:rPr>
        <w:t>Policy Papers</w:t>
      </w:r>
      <w:r w:rsidRPr="009E1584">
        <w:rPr>
          <w:rFonts w:ascii="Calibri Light" w:hAnsi="Calibri Light" w:cs="Calibri Light"/>
          <w:iCs/>
          <w:highlight w:val="yellow"/>
          <w:lang w:val="en-US"/>
        </w:rPr>
        <w:t xml:space="preserve">, 2024(003), 1. </w:t>
      </w:r>
      <w:hyperlink r:id="rId16" w:history="1">
        <w:r w:rsidRPr="009E1584">
          <w:rPr>
            <w:rStyle w:val="Hyperlink"/>
            <w:rFonts w:ascii="Calibri Light" w:hAnsi="Calibri Light" w:cs="Calibri Light"/>
            <w:iCs/>
            <w:color w:val="auto"/>
            <w:highlight w:val="yellow"/>
            <w:lang w:val="en-US"/>
          </w:rPr>
          <w:t>https://doi.org/10.5089/9798400263507.007</w:t>
        </w:r>
      </w:hyperlink>
      <w:r w:rsidRPr="009E1584">
        <w:rPr>
          <w:rFonts w:ascii="Calibri Light" w:hAnsi="Calibri Light" w:cs="Calibri Light"/>
          <w:iCs/>
          <w:highlight w:val="yellow"/>
          <w:lang w:val="en-US"/>
        </w:rPr>
        <w:t>.</w:t>
      </w:r>
    </w:p>
    <w:p w:rsidR="001823E0" w:rsidRPr="00390E30" w:rsidRDefault="009C58BB">
      <w:pPr>
        <w:pStyle w:val="ListParagraph"/>
        <w:numPr>
          <w:ilvl w:val="0"/>
          <w:numId w:val="11"/>
        </w:numPr>
        <w:spacing w:line="240" w:lineRule="auto"/>
        <w:jc w:val="both"/>
        <w:rPr>
          <w:rFonts w:ascii="Calibri Light" w:hAnsi="Calibri Light" w:cs="Calibri Light"/>
          <w:iCs/>
          <w:highlight w:val="yellow"/>
        </w:rPr>
      </w:pPr>
      <w:r w:rsidRPr="00390E30">
        <w:rPr>
          <w:rFonts w:ascii="Calibri Light" w:hAnsi="Calibri Light" w:cs="Calibri Light"/>
          <w:iCs/>
          <w:highlight w:val="yellow"/>
        </w:rPr>
        <w:t xml:space="preserve">Kalumanga, V. E. (2018). Women and seaweed farming in Zanzibar-Archipelago. </w:t>
      </w:r>
      <w:r w:rsidRPr="00390E30">
        <w:rPr>
          <w:rFonts w:ascii="Calibri Light" w:hAnsi="Calibri Light" w:cs="Calibri Light"/>
          <w:i/>
          <w:highlight w:val="yellow"/>
        </w:rPr>
        <w:t>International Journal of Creative Research Thoughts</w:t>
      </w:r>
      <w:r w:rsidRPr="00390E30">
        <w:rPr>
          <w:rFonts w:ascii="Calibri Light" w:hAnsi="Calibri Light" w:cs="Calibri Light"/>
          <w:iCs/>
          <w:highlight w:val="yellow"/>
        </w:rPr>
        <w:t>, 31(2), 473-484.</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t xml:space="preserve">Kalumanga, V. E. (2024). 209 understanding perceptions of climate stressors and mitigation measures employed by women seaweed farmers in the South District of Zanzibar, Tanzania. </w:t>
      </w:r>
      <w:r>
        <w:rPr>
          <w:rFonts w:ascii="Calibri Light" w:hAnsi="Calibri Light" w:cs="Calibri Light"/>
          <w:i/>
          <w:iCs/>
        </w:rPr>
        <w:t>Journal of Policy and Development Studies</w:t>
      </w:r>
      <w:r>
        <w:rPr>
          <w:rFonts w:ascii="Calibri Light" w:hAnsi="Calibri Light" w:cs="Calibri Light"/>
        </w:rPr>
        <w:t xml:space="preserve">, </w:t>
      </w:r>
      <w:r>
        <w:rPr>
          <w:rFonts w:ascii="Calibri Light" w:hAnsi="Calibri Light" w:cs="Calibri Light"/>
          <w:i/>
          <w:iCs/>
        </w:rPr>
        <w:t>15</w:t>
      </w:r>
      <w:r>
        <w:rPr>
          <w:rFonts w:ascii="Calibri Light" w:hAnsi="Calibri Light" w:cs="Calibri Light"/>
        </w:rPr>
        <w:t xml:space="preserve">(1), 209–232. https://doi.org/10.4314/jpds.v15i1.17 </w:t>
      </w:r>
    </w:p>
    <w:p w:rsidR="001823E0" w:rsidRPr="00AF473B" w:rsidRDefault="009C58BB">
      <w:pPr>
        <w:pStyle w:val="ListParagraph"/>
        <w:numPr>
          <w:ilvl w:val="0"/>
          <w:numId w:val="11"/>
        </w:numPr>
        <w:spacing w:line="240" w:lineRule="auto"/>
        <w:jc w:val="both"/>
        <w:rPr>
          <w:rFonts w:ascii="Calibri Light" w:hAnsi="Calibri Light" w:cs="Calibri Light"/>
          <w:iCs/>
          <w:highlight w:val="yellow"/>
        </w:rPr>
      </w:pPr>
      <w:r w:rsidRPr="00AF473B">
        <w:rPr>
          <w:rFonts w:ascii="Calibri Light" w:hAnsi="Calibri Light" w:cs="Calibri Light"/>
          <w:iCs/>
          <w:highlight w:val="yellow"/>
        </w:rPr>
        <w:t xml:space="preserve">Kilamlya, J., &amp; Utonga, D. (2024). The efficacy of VICOBA intervention in alleviating poverty in emerging economies: A study of the ORGUT SEDIT VICOBA Lending Scheme project in Morogoro, Tanzania. </w:t>
      </w:r>
      <w:r w:rsidRPr="00AF473B">
        <w:rPr>
          <w:rFonts w:ascii="Calibri Light" w:hAnsi="Calibri Light" w:cs="Calibri Light"/>
          <w:i/>
          <w:highlight w:val="yellow"/>
        </w:rPr>
        <w:t>American Journal of Applied Statistics and Economics</w:t>
      </w:r>
      <w:r w:rsidRPr="00AF473B">
        <w:rPr>
          <w:rFonts w:ascii="Calibri Light" w:hAnsi="Calibri Light" w:cs="Calibri Light"/>
          <w:iCs/>
          <w:highlight w:val="yellow"/>
        </w:rPr>
        <w:t xml:space="preserve">, 3(1), 92–98. </w:t>
      </w:r>
      <w:hyperlink r:id="rId17" w:history="1">
        <w:r w:rsidRPr="00AF473B">
          <w:rPr>
            <w:rStyle w:val="Hyperlink"/>
            <w:rFonts w:ascii="Calibri Light" w:hAnsi="Calibri Light" w:cs="Calibri Light"/>
            <w:iCs/>
            <w:color w:val="auto"/>
            <w:highlight w:val="yellow"/>
          </w:rPr>
          <w:t>https://doi.org/10.54536/ajase.v3i1.2616</w:t>
        </w:r>
      </w:hyperlink>
      <w:r w:rsidRPr="00AF473B">
        <w:rPr>
          <w:rFonts w:ascii="Calibri Light" w:hAnsi="Calibri Light" w:cs="Calibri Light"/>
          <w:iCs/>
          <w:highlight w:val="yellow"/>
        </w:rPr>
        <w:t>.</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lang w:val="it-IT"/>
        </w:rPr>
        <w:t xml:space="preserve">Kosichek, H., Reimer, J., &amp; Filgueira, R. (2024). </w:t>
      </w:r>
      <w:r>
        <w:rPr>
          <w:rFonts w:ascii="Calibri Light" w:hAnsi="Calibri Light" w:cs="Calibri Light"/>
        </w:rPr>
        <w:t xml:space="preserve">Assessing the potential for seaweed aquaculture in Nova Scotia. </w:t>
      </w:r>
      <w:r>
        <w:rPr>
          <w:rFonts w:ascii="Calibri Light" w:hAnsi="Calibri Light" w:cs="Calibri Light"/>
          <w:i/>
          <w:iCs/>
        </w:rPr>
        <w:t>Aquaculture Reports</w:t>
      </w:r>
      <w:r>
        <w:rPr>
          <w:rFonts w:ascii="Calibri Light" w:hAnsi="Calibri Light" w:cs="Calibri Light"/>
        </w:rPr>
        <w:t xml:space="preserve">, </w:t>
      </w:r>
      <w:r>
        <w:rPr>
          <w:rFonts w:ascii="Calibri Light" w:hAnsi="Calibri Light" w:cs="Calibri Light"/>
          <w:i/>
          <w:iCs/>
        </w:rPr>
        <w:t>36</w:t>
      </w:r>
      <w:r>
        <w:rPr>
          <w:rFonts w:ascii="Calibri Light" w:hAnsi="Calibri Light" w:cs="Calibri Light"/>
        </w:rPr>
        <w:t xml:space="preserve">, 102064. https://doi.org/10.1016/j.aqrep.2024.102064 </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t xml:space="preserve">Largo, D.B., Msuya, F.E. &amp; Menezes, A. (2020). </w:t>
      </w:r>
      <w:r>
        <w:rPr>
          <w:rFonts w:ascii="Calibri Light" w:hAnsi="Calibri Light" w:cs="Calibri Light"/>
          <w:i/>
          <w:iCs/>
        </w:rPr>
        <w:t>Understanding diseases and control in seaweed farming in Zanzibar</w:t>
      </w:r>
      <w:r>
        <w:rPr>
          <w:rFonts w:ascii="Calibri Light" w:hAnsi="Calibri Light" w:cs="Calibri Light"/>
        </w:rPr>
        <w:t xml:space="preserve">. FAO Fisheries and Aquaculture Technical Paper No. 662. Rome, FAO. </w:t>
      </w:r>
      <w:hyperlink r:id="rId18" w:history="1">
        <w:r>
          <w:rPr>
            <w:rStyle w:val="Hyperlink"/>
            <w:rFonts w:ascii="Calibri Light" w:hAnsi="Calibri Light" w:cs="Calibri Light"/>
            <w:color w:val="auto"/>
          </w:rPr>
          <w:t>https://doi.org/10.4060/ca9004en</w:t>
        </w:r>
      </w:hyperlink>
      <w:r>
        <w:rPr>
          <w:rFonts w:ascii="Calibri Light" w:hAnsi="Calibri Light" w:cs="Calibri Light"/>
        </w:rPr>
        <w:t>.</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rPr>
        <w:lastRenderedPageBreak/>
        <w:t xml:space="preserve">Mbuga, S. (2019). Credit Financing Challenges on Farm Entrepreneurship in Tanzania: Empirical Evidence from Smallholder Paddy Farmers at Dakawa Ward in Mvomero District. </w:t>
      </w:r>
      <w:r>
        <w:rPr>
          <w:rFonts w:ascii="Calibri Light" w:hAnsi="Calibri Light" w:cs="Calibri Light"/>
          <w:i/>
          <w:iCs/>
        </w:rPr>
        <w:t>Journal of Co-Operative and Business Studies (JCBS)</w:t>
      </w:r>
      <w:r>
        <w:rPr>
          <w:rFonts w:ascii="Calibri Light" w:hAnsi="Calibri Light" w:cs="Calibri Light"/>
        </w:rPr>
        <w:t>, 4(1), 76-87.</w:t>
      </w:r>
    </w:p>
    <w:p w:rsidR="001823E0" w:rsidRPr="00AF473B" w:rsidRDefault="009C58BB">
      <w:pPr>
        <w:pStyle w:val="ListParagraph"/>
        <w:numPr>
          <w:ilvl w:val="0"/>
          <w:numId w:val="11"/>
        </w:numPr>
        <w:spacing w:line="240" w:lineRule="auto"/>
        <w:jc w:val="both"/>
        <w:rPr>
          <w:rFonts w:ascii="Calibri Light" w:hAnsi="Calibri Light" w:cs="Calibri Light"/>
          <w:iCs/>
          <w:highlight w:val="yellow"/>
        </w:rPr>
      </w:pPr>
      <w:r w:rsidRPr="00AF473B">
        <w:rPr>
          <w:rFonts w:ascii="Calibri Light" w:hAnsi="Calibri Light" w:cs="Calibri Light"/>
          <w:iCs/>
          <w:highlight w:val="yellow"/>
        </w:rPr>
        <w:t xml:space="preserve">Mbunda, K. A. (2024). Saving and Credit Cooperatives Services and Socio-economic Empowerment of Women in Temeke Municipality, Tanzania. </w:t>
      </w:r>
      <w:r w:rsidRPr="00AF473B">
        <w:rPr>
          <w:rFonts w:ascii="Calibri Light" w:hAnsi="Calibri Light" w:cs="Calibri Light"/>
          <w:i/>
          <w:highlight w:val="yellow"/>
        </w:rPr>
        <w:t>East African Journal of Interdisciplinary Studies.</w:t>
      </w:r>
      <w:r w:rsidRPr="00AF473B">
        <w:rPr>
          <w:rFonts w:ascii="Calibri Light" w:hAnsi="Calibri Light" w:cs="Calibri Light"/>
          <w:iCs/>
          <w:highlight w:val="yellow"/>
        </w:rPr>
        <w:t xml:space="preserve"> 7. 2024. 10.37284/eajis.7.1.1887.</w:t>
      </w:r>
    </w:p>
    <w:p w:rsidR="001823E0" w:rsidRPr="00AF473B" w:rsidRDefault="009C58BB">
      <w:pPr>
        <w:pStyle w:val="ListParagraph"/>
        <w:numPr>
          <w:ilvl w:val="0"/>
          <w:numId w:val="11"/>
        </w:numPr>
        <w:spacing w:line="240" w:lineRule="auto"/>
        <w:jc w:val="both"/>
        <w:rPr>
          <w:rFonts w:ascii="Calibri Light" w:hAnsi="Calibri Light" w:cs="Calibri Light"/>
          <w:iCs/>
          <w:highlight w:val="yellow"/>
        </w:rPr>
      </w:pPr>
      <w:r w:rsidRPr="00AF473B">
        <w:rPr>
          <w:rFonts w:ascii="Calibri Light" w:hAnsi="Calibri Light" w:cs="Calibri Light"/>
          <w:iCs/>
          <w:highlight w:val="yellow"/>
          <w:lang w:val="de-DE"/>
        </w:rPr>
        <w:t xml:space="preserve">Mbunda, K. A., and Ndunguru, F. E. (2024). </w:t>
      </w:r>
      <w:r w:rsidRPr="00AF473B">
        <w:rPr>
          <w:rFonts w:ascii="Calibri Light" w:hAnsi="Calibri Light" w:cs="Calibri Light"/>
          <w:iCs/>
          <w:highlight w:val="yellow"/>
          <w:lang w:val="en-US"/>
        </w:rPr>
        <w:t>A Gendered Perspective on Household Dietary Diversity Status in Mbinga District, Tanzania. </w:t>
      </w:r>
      <w:r w:rsidRPr="00AF473B">
        <w:rPr>
          <w:rFonts w:ascii="Calibri Light" w:hAnsi="Calibri Light" w:cs="Calibri Light"/>
          <w:i/>
          <w:highlight w:val="yellow"/>
          <w:lang w:val="en-US"/>
        </w:rPr>
        <w:t>Asian Journal of Education and Social Studies</w:t>
      </w:r>
      <w:r w:rsidRPr="00AF473B">
        <w:rPr>
          <w:rFonts w:ascii="Calibri Light" w:hAnsi="Calibri Light" w:cs="Calibri Light"/>
          <w:iCs/>
          <w:highlight w:val="yellow"/>
          <w:lang w:val="en-US"/>
        </w:rPr>
        <w:t> 50 (4):1-15. https://doi.org/10.9734/ajess/2024/v50i41306.</w:t>
      </w:r>
    </w:p>
    <w:p w:rsidR="001823E0" w:rsidRPr="00390E30" w:rsidRDefault="009C58BB">
      <w:pPr>
        <w:pStyle w:val="ListParagraph"/>
        <w:numPr>
          <w:ilvl w:val="0"/>
          <w:numId w:val="11"/>
        </w:numPr>
        <w:spacing w:line="240" w:lineRule="auto"/>
        <w:jc w:val="both"/>
        <w:rPr>
          <w:rFonts w:ascii="Calibri Light" w:hAnsi="Calibri Light" w:cs="Calibri Light"/>
          <w:iCs/>
          <w:highlight w:val="yellow"/>
        </w:rPr>
      </w:pPr>
      <w:r w:rsidRPr="00390E30">
        <w:rPr>
          <w:rFonts w:ascii="Calibri Light" w:hAnsi="Calibri Light" w:cs="Calibri Light"/>
          <w:highlight w:val="yellow"/>
        </w:rPr>
        <w:t xml:space="preserve">Msuya, F. E. (2012). A Study of Working Conditions in the Zanzibar Seaweed Farming Industry. </w:t>
      </w:r>
      <w:hyperlink r:id="rId19" w:history="1">
        <w:r w:rsidRPr="00390E30">
          <w:rPr>
            <w:rStyle w:val="Hyperlink"/>
            <w:rFonts w:ascii="Calibri Light" w:hAnsi="Calibri Light" w:cs="Calibri Light"/>
            <w:color w:val="auto"/>
            <w:highlight w:val="yellow"/>
          </w:rPr>
          <w:t>www.wiego.org</w:t>
        </w:r>
      </w:hyperlink>
    </w:p>
    <w:p w:rsidR="001823E0" w:rsidRPr="00756027" w:rsidRDefault="009C58BB">
      <w:pPr>
        <w:pStyle w:val="ListParagraph"/>
        <w:numPr>
          <w:ilvl w:val="0"/>
          <w:numId w:val="11"/>
        </w:numPr>
        <w:spacing w:line="240" w:lineRule="auto"/>
        <w:jc w:val="both"/>
        <w:rPr>
          <w:rFonts w:ascii="Calibri Light" w:hAnsi="Calibri Light" w:cs="Calibri Light"/>
          <w:iCs/>
          <w:highlight w:val="yellow"/>
        </w:rPr>
      </w:pPr>
      <w:r w:rsidRPr="00756027">
        <w:rPr>
          <w:rFonts w:ascii="Calibri Light" w:hAnsi="Calibri Light" w:cs="Calibri Light"/>
          <w:iCs/>
          <w:highlight w:val="yellow"/>
        </w:rPr>
        <w:t xml:space="preserve">Msuya, F. E., &amp; Hurtado, A. Q. (2017). The role of women in seaweed aquaculture in the Western Indian Ocean and South-East Asia. European Journal of Phycology, 52(4), 482–494. </w:t>
      </w:r>
      <w:hyperlink r:id="rId20" w:history="1">
        <w:r w:rsidRPr="00756027">
          <w:rPr>
            <w:rStyle w:val="Hyperlink"/>
            <w:rFonts w:ascii="Calibri Light" w:hAnsi="Calibri Light" w:cs="Calibri Light"/>
            <w:iCs/>
            <w:color w:val="auto"/>
            <w:highlight w:val="yellow"/>
          </w:rPr>
          <w:t>https://doi.org/10.1080/09670262.2017.1357084</w:t>
        </w:r>
      </w:hyperlink>
      <w:r w:rsidRPr="00756027">
        <w:rPr>
          <w:rFonts w:ascii="Calibri Light" w:hAnsi="Calibri Light" w:cs="Calibri Light"/>
          <w:iCs/>
          <w:highlight w:val="yellow"/>
        </w:rPr>
        <w:t>.</w:t>
      </w:r>
    </w:p>
    <w:p w:rsidR="001823E0" w:rsidRDefault="009C58BB">
      <w:pPr>
        <w:pStyle w:val="NormalWeb"/>
        <w:numPr>
          <w:ilvl w:val="0"/>
          <w:numId w:val="11"/>
        </w:numPr>
        <w:spacing w:before="0" w:beforeAutospacing="0" w:after="0" w:afterAutospacing="0"/>
        <w:jc w:val="both"/>
        <w:rPr>
          <w:rFonts w:ascii="Calibri Light" w:hAnsi="Calibri Light" w:cs="Calibri Light"/>
          <w:lang w:val="it-IT"/>
        </w:rPr>
      </w:pPr>
      <w:r>
        <w:rPr>
          <w:rFonts w:ascii="Calibri Light" w:hAnsi="Calibri Light" w:cs="Calibri Light"/>
        </w:rPr>
        <w:t xml:space="preserve">Nadew, M., &amp; Senapathy, M. (2022). </w:t>
      </w:r>
      <w:r>
        <w:rPr>
          <w:rFonts w:ascii="Calibri Light" w:hAnsi="Calibri Light" w:cs="Calibri Light"/>
          <w:i/>
          <w:iCs/>
        </w:rPr>
        <w:t>Small farmers’ agricultural loan repayment performance in Southern Ethiopia</w:t>
      </w:r>
      <w:r>
        <w:rPr>
          <w:rFonts w:ascii="Calibri Light" w:hAnsi="Calibri Light" w:cs="Calibri Light"/>
        </w:rPr>
        <w:t xml:space="preserve">. </w:t>
      </w:r>
      <w:hyperlink r:id="rId21" w:history="1">
        <w:r>
          <w:rPr>
            <w:rStyle w:val="Hyperlink"/>
            <w:rFonts w:ascii="Calibri Light" w:hAnsi="Calibri Light" w:cs="Calibri Light"/>
            <w:color w:val="auto"/>
            <w:lang w:val="it-IT"/>
          </w:rPr>
          <w:t>https://doi.org/10.36074/sfalrpise-monograph.2022</w:t>
        </w:r>
      </w:hyperlink>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lang w:val="it-IT"/>
        </w:rPr>
        <w:t xml:space="preserve">Pike, F., Lindström, L., Ekstedt, J., Jiddawi, N. S., &amp; De La Torre-Castro, M. (2024). </w:t>
      </w:r>
      <w:r>
        <w:rPr>
          <w:rFonts w:ascii="Calibri Light" w:hAnsi="Calibri Light" w:cs="Calibri Light"/>
        </w:rPr>
        <w:t xml:space="preserve">Dynamic livelihoods, gender, and poverty in marine protected areas: A case study from Zanzibar, Tanzania. </w:t>
      </w:r>
      <w:r>
        <w:rPr>
          <w:rFonts w:ascii="Calibri Light" w:hAnsi="Calibri Light" w:cs="Calibri Light"/>
          <w:i/>
          <w:iCs/>
        </w:rPr>
        <w:t>AMBIO</w:t>
      </w:r>
      <w:r>
        <w:rPr>
          <w:rFonts w:ascii="Calibri Light" w:hAnsi="Calibri Light" w:cs="Calibri Light"/>
        </w:rPr>
        <w:t xml:space="preserve">, </w:t>
      </w:r>
      <w:r>
        <w:rPr>
          <w:rFonts w:ascii="Calibri Light" w:hAnsi="Calibri Light" w:cs="Calibri Light"/>
          <w:i/>
          <w:iCs/>
        </w:rPr>
        <w:t>53</w:t>
      </w:r>
      <w:r>
        <w:rPr>
          <w:rFonts w:ascii="Calibri Light" w:hAnsi="Calibri Light" w:cs="Calibri Light"/>
        </w:rPr>
        <w:t xml:space="preserve">(8), 1218–1233. </w:t>
      </w:r>
      <w:r>
        <w:rPr>
          <w:rStyle w:val="url"/>
          <w:rFonts w:ascii="Calibri Light" w:hAnsi="Calibri Light" w:cs="Calibri Light"/>
        </w:rPr>
        <w:t>https://doi.org/10.1007/s13280-024-02010-x</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iCs/>
        </w:rPr>
        <w:t>Ralsmark, H. (2017). Education, norms, and gender equality, Working Papers in Economics 702, University of Gothenburg, Department of Economics.</w:t>
      </w:r>
    </w:p>
    <w:p w:rsidR="001823E0" w:rsidRDefault="009C58BB">
      <w:pPr>
        <w:pStyle w:val="ListParagraph"/>
        <w:numPr>
          <w:ilvl w:val="0"/>
          <w:numId w:val="11"/>
        </w:numPr>
        <w:spacing w:line="240" w:lineRule="auto"/>
        <w:jc w:val="both"/>
        <w:rPr>
          <w:rStyle w:val="url"/>
          <w:rFonts w:ascii="Calibri Light" w:hAnsi="Calibri Light" w:cs="Calibri Light"/>
          <w:iCs/>
        </w:rPr>
      </w:pPr>
      <w:r>
        <w:rPr>
          <w:rFonts w:ascii="Calibri Light" w:hAnsi="Calibri Light" w:cs="Calibri Light"/>
        </w:rPr>
        <w:t xml:space="preserve">Reflin, E., Ramadhan, A. S., &amp; Arief, A. A. (2023). The potential of seaweed in increasing the revenue of farmers in Bantaeng District. </w:t>
      </w:r>
      <w:r>
        <w:rPr>
          <w:rFonts w:ascii="Calibri Light" w:hAnsi="Calibri Light" w:cs="Calibri Light"/>
          <w:i/>
          <w:iCs/>
        </w:rPr>
        <w:t>IOP Conference Series Earth and Environmental Science</w:t>
      </w:r>
      <w:r>
        <w:rPr>
          <w:rFonts w:ascii="Calibri Light" w:hAnsi="Calibri Light" w:cs="Calibri Light"/>
        </w:rPr>
        <w:t xml:space="preserve">, </w:t>
      </w:r>
      <w:r>
        <w:rPr>
          <w:rFonts w:ascii="Calibri Light" w:hAnsi="Calibri Light" w:cs="Calibri Light"/>
          <w:i/>
          <w:iCs/>
        </w:rPr>
        <w:t>1230</w:t>
      </w:r>
      <w:r>
        <w:rPr>
          <w:rFonts w:ascii="Calibri Light" w:hAnsi="Calibri Light" w:cs="Calibri Light"/>
        </w:rPr>
        <w:t xml:space="preserve">(1), 012022. </w:t>
      </w:r>
      <w:hyperlink r:id="rId22" w:history="1">
        <w:r>
          <w:rPr>
            <w:rStyle w:val="Hyperlink"/>
            <w:rFonts w:ascii="Calibri Light" w:hAnsi="Calibri Light" w:cs="Calibri Light"/>
            <w:color w:val="auto"/>
          </w:rPr>
          <w:t>https://doi.org/10.1088/1755-1315/1230/1/012022</w:t>
        </w:r>
      </w:hyperlink>
      <w:r>
        <w:rPr>
          <w:rStyle w:val="url"/>
          <w:rFonts w:ascii="Calibri Light" w:hAnsi="Calibri Light" w:cs="Calibri Light"/>
        </w:rPr>
        <w:t>.</w:t>
      </w:r>
    </w:p>
    <w:p w:rsidR="001823E0" w:rsidRPr="00111501" w:rsidRDefault="009C58BB">
      <w:pPr>
        <w:pStyle w:val="ListParagraph"/>
        <w:numPr>
          <w:ilvl w:val="0"/>
          <w:numId w:val="11"/>
        </w:numPr>
        <w:spacing w:line="240" w:lineRule="auto"/>
        <w:jc w:val="both"/>
        <w:rPr>
          <w:rFonts w:ascii="Calibri Light" w:hAnsi="Calibri Light" w:cs="Calibri Light"/>
          <w:iCs/>
          <w:highlight w:val="yellow"/>
        </w:rPr>
      </w:pPr>
      <w:r w:rsidRPr="00111501">
        <w:rPr>
          <w:rFonts w:ascii="Calibri Light" w:hAnsi="Calibri Light" w:cs="Calibri Light"/>
          <w:highlight w:val="yellow"/>
          <w:lang w:val="pl-PL"/>
        </w:rPr>
        <w:t xml:space="preserve">Rubekie, A. P., &amp; Bwathondi, P. O. J. (2022). </w:t>
      </w:r>
      <w:r w:rsidRPr="00111501">
        <w:rPr>
          <w:rFonts w:ascii="Calibri Light" w:hAnsi="Calibri Light" w:cs="Calibri Light"/>
          <w:highlight w:val="yellow"/>
        </w:rPr>
        <w:t xml:space="preserve">Logistic regression analysis is used to determine gender-specific challenges and factors affecting seaweed farming along the coast of Tanzania's mainland. </w:t>
      </w:r>
      <w:r w:rsidRPr="00111501">
        <w:rPr>
          <w:rFonts w:ascii="Calibri Light" w:hAnsi="Calibri Light" w:cs="Calibri Light"/>
          <w:i/>
          <w:iCs/>
          <w:highlight w:val="yellow"/>
        </w:rPr>
        <w:t>Journal of Applied Aquaculture</w:t>
      </w:r>
      <w:r w:rsidRPr="00111501">
        <w:rPr>
          <w:rFonts w:ascii="Calibri Light" w:hAnsi="Calibri Light" w:cs="Calibri Light"/>
          <w:highlight w:val="yellow"/>
        </w:rPr>
        <w:t xml:space="preserve">, 1–36. </w:t>
      </w:r>
      <w:hyperlink r:id="rId23" w:history="1">
        <w:r w:rsidRPr="00111501">
          <w:rPr>
            <w:rStyle w:val="Hyperlink"/>
            <w:rFonts w:ascii="Calibri Light" w:hAnsi="Calibri Light" w:cs="Calibri Light"/>
            <w:color w:val="auto"/>
            <w:highlight w:val="yellow"/>
          </w:rPr>
          <w:t>https://doi.org/10.1080/10454438.2022.2128963</w:t>
        </w:r>
      </w:hyperlink>
      <w:r w:rsidRPr="00111501">
        <w:rPr>
          <w:rFonts w:ascii="Calibri Light" w:hAnsi="Calibri Light" w:cs="Calibri Light"/>
          <w:highlight w:val="yellow"/>
        </w:rPr>
        <w:t>.</w:t>
      </w:r>
    </w:p>
    <w:p w:rsidR="001823E0" w:rsidRPr="0032649B" w:rsidRDefault="009C58BB">
      <w:pPr>
        <w:pStyle w:val="ListParagraph"/>
        <w:numPr>
          <w:ilvl w:val="0"/>
          <w:numId w:val="11"/>
        </w:numPr>
        <w:spacing w:line="240" w:lineRule="auto"/>
        <w:jc w:val="both"/>
        <w:rPr>
          <w:rFonts w:ascii="Calibri Light" w:hAnsi="Calibri Light" w:cs="Calibri Light"/>
          <w:iCs/>
          <w:highlight w:val="yellow"/>
        </w:rPr>
      </w:pPr>
      <w:r w:rsidRPr="0032649B">
        <w:rPr>
          <w:rFonts w:ascii="Calibri Light" w:hAnsi="Calibri Light" w:cs="Calibri Light"/>
          <w:highlight w:val="yellow"/>
        </w:rPr>
        <w:t xml:space="preserve">Sari, N. I., Arsyad, M., &amp; Hamzah, H. (2023). Farmers’ decision on seaweed harvests marketing: Direct or delayed selling. </w:t>
      </w:r>
      <w:r w:rsidRPr="0032649B">
        <w:rPr>
          <w:rFonts w:ascii="Calibri Light" w:hAnsi="Calibri Light" w:cs="Calibri Light"/>
          <w:i/>
          <w:iCs/>
          <w:highlight w:val="yellow"/>
        </w:rPr>
        <w:t>Universal Journal of Agricultural Research</w:t>
      </w:r>
      <w:r w:rsidRPr="0032649B">
        <w:rPr>
          <w:rFonts w:ascii="Calibri Light" w:hAnsi="Calibri Light" w:cs="Calibri Light"/>
          <w:highlight w:val="yellow"/>
        </w:rPr>
        <w:t xml:space="preserve">, </w:t>
      </w:r>
      <w:r w:rsidRPr="0032649B">
        <w:rPr>
          <w:rFonts w:ascii="Calibri Light" w:hAnsi="Calibri Light" w:cs="Calibri Light"/>
          <w:i/>
          <w:iCs/>
          <w:highlight w:val="yellow"/>
        </w:rPr>
        <w:t>11</w:t>
      </w:r>
      <w:r w:rsidRPr="0032649B">
        <w:rPr>
          <w:rFonts w:ascii="Calibri Light" w:hAnsi="Calibri Light" w:cs="Calibri Light"/>
          <w:highlight w:val="yellow"/>
        </w:rPr>
        <w:t xml:space="preserve">(5), 906–915. </w:t>
      </w:r>
      <w:r w:rsidRPr="0032649B">
        <w:rPr>
          <w:rStyle w:val="url"/>
          <w:rFonts w:ascii="Calibri Light" w:hAnsi="Calibri Light" w:cs="Calibri Light"/>
          <w:highlight w:val="yellow"/>
        </w:rPr>
        <w:t>https://doi.org/10.13189/ujar.2023.110515</w:t>
      </w:r>
      <w:r w:rsidRPr="0032649B">
        <w:rPr>
          <w:rFonts w:ascii="Calibri Light" w:hAnsi="Calibri Light" w:cs="Calibri Light"/>
          <w:iCs/>
          <w:highlight w:val="yellow"/>
        </w:rPr>
        <w:t>.</w:t>
      </w:r>
    </w:p>
    <w:p w:rsidR="001823E0" w:rsidRPr="00390E30" w:rsidRDefault="009C58BB">
      <w:pPr>
        <w:pStyle w:val="ListParagraph"/>
        <w:numPr>
          <w:ilvl w:val="0"/>
          <w:numId w:val="11"/>
        </w:numPr>
        <w:spacing w:line="240" w:lineRule="auto"/>
        <w:jc w:val="both"/>
        <w:rPr>
          <w:rFonts w:ascii="Calibri Light" w:hAnsi="Calibri Light" w:cs="Calibri Light"/>
          <w:iCs/>
          <w:highlight w:val="yellow"/>
        </w:rPr>
      </w:pPr>
      <w:r w:rsidRPr="00390E30">
        <w:rPr>
          <w:rFonts w:ascii="Calibri Light" w:hAnsi="Calibri Light" w:cs="Calibri Light"/>
          <w:iCs/>
          <w:highlight w:val="yellow"/>
        </w:rPr>
        <w:t xml:space="preserve">Sewando, P. T., Utonga, D., &amp; John, S. (2022). The contribution of carrot farming on livelihood improvement at household levels in Arumeru district, Arusha Tanzania. </w:t>
      </w:r>
      <w:r w:rsidRPr="00390E30">
        <w:rPr>
          <w:rFonts w:ascii="Calibri Light" w:hAnsi="Calibri Light" w:cs="Calibri Light"/>
          <w:i/>
          <w:highlight w:val="yellow"/>
        </w:rPr>
        <w:t>International Journal of Science and Management Studies (IJSMS)</w:t>
      </w:r>
      <w:r w:rsidRPr="00390E30">
        <w:rPr>
          <w:rFonts w:ascii="Calibri Light" w:hAnsi="Calibri Light" w:cs="Calibri Light"/>
          <w:iCs/>
          <w:highlight w:val="yellow"/>
        </w:rPr>
        <w:t xml:space="preserve">, 87–93. </w:t>
      </w:r>
      <w:hyperlink r:id="rId24" w:history="1">
        <w:r w:rsidRPr="00390E30">
          <w:rPr>
            <w:rStyle w:val="Hyperlink"/>
            <w:rFonts w:ascii="Calibri Light" w:hAnsi="Calibri Light" w:cs="Calibri Light"/>
            <w:iCs/>
            <w:color w:val="auto"/>
            <w:highlight w:val="yellow"/>
          </w:rPr>
          <w:t>https://doi.org/10.51386/25815946/ijsms-v5i2p111</w:t>
        </w:r>
      </w:hyperlink>
      <w:r w:rsidRPr="00390E30">
        <w:rPr>
          <w:rFonts w:ascii="Calibri Light" w:hAnsi="Calibri Light" w:cs="Calibri Light"/>
          <w:iCs/>
          <w:highlight w:val="yellow"/>
        </w:rPr>
        <w:t>.</w:t>
      </w:r>
    </w:p>
    <w:p w:rsidR="001823E0" w:rsidRPr="00A71428" w:rsidRDefault="009C58BB">
      <w:pPr>
        <w:pStyle w:val="ListParagraph"/>
        <w:numPr>
          <w:ilvl w:val="0"/>
          <w:numId w:val="11"/>
        </w:numPr>
        <w:spacing w:line="240" w:lineRule="auto"/>
        <w:jc w:val="both"/>
        <w:rPr>
          <w:rFonts w:ascii="Calibri Light" w:hAnsi="Calibri Light" w:cs="Calibri Light"/>
          <w:iCs/>
          <w:highlight w:val="yellow"/>
        </w:rPr>
      </w:pPr>
      <w:r w:rsidRPr="00A71428">
        <w:rPr>
          <w:rFonts w:ascii="Calibri Light" w:hAnsi="Calibri Light" w:cs="Calibri Light"/>
          <w:highlight w:val="yellow"/>
          <w:lang w:val="it-IT"/>
        </w:rPr>
        <w:t xml:space="preserve">Simone, M. N., &amp; Vopel, K. (2023). </w:t>
      </w:r>
      <w:r w:rsidRPr="00A71428">
        <w:rPr>
          <w:rFonts w:ascii="Calibri Light" w:hAnsi="Calibri Light" w:cs="Calibri Light"/>
          <w:highlight w:val="yellow"/>
        </w:rPr>
        <w:t xml:space="preserve">The need for proactive environmental management of offshore aquaculture. </w:t>
      </w:r>
      <w:r w:rsidRPr="00A71428">
        <w:rPr>
          <w:rFonts w:ascii="Calibri Light" w:hAnsi="Calibri Light" w:cs="Calibri Light"/>
          <w:i/>
          <w:iCs/>
          <w:highlight w:val="yellow"/>
        </w:rPr>
        <w:t>Reviews in Aquaculture</w:t>
      </w:r>
      <w:r w:rsidRPr="00A71428">
        <w:rPr>
          <w:rFonts w:ascii="Calibri Light" w:hAnsi="Calibri Light" w:cs="Calibri Light"/>
          <w:highlight w:val="yellow"/>
        </w:rPr>
        <w:t xml:space="preserve">, </w:t>
      </w:r>
      <w:r w:rsidRPr="00A71428">
        <w:rPr>
          <w:rFonts w:ascii="Calibri Light" w:hAnsi="Calibri Light" w:cs="Calibri Light"/>
          <w:i/>
          <w:iCs/>
          <w:highlight w:val="yellow"/>
        </w:rPr>
        <w:t>16</w:t>
      </w:r>
      <w:r w:rsidRPr="00A71428">
        <w:rPr>
          <w:rFonts w:ascii="Calibri Light" w:hAnsi="Calibri Light" w:cs="Calibri Light"/>
          <w:highlight w:val="yellow"/>
        </w:rPr>
        <w:t xml:space="preserve">(2), 603–607. </w:t>
      </w:r>
      <w:r w:rsidRPr="00A71428">
        <w:rPr>
          <w:rStyle w:val="url"/>
          <w:rFonts w:ascii="Calibri Light" w:hAnsi="Calibri Light" w:cs="Calibri Light"/>
          <w:highlight w:val="yellow"/>
        </w:rPr>
        <w:t>https://doi.org/10.1111/raq.12874.</w:t>
      </w:r>
    </w:p>
    <w:p w:rsidR="001823E0" w:rsidRDefault="009C58BB">
      <w:pPr>
        <w:pStyle w:val="ListParagraph"/>
        <w:numPr>
          <w:ilvl w:val="0"/>
          <w:numId w:val="11"/>
        </w:numPr>
        <w:spacing w:line="240" w:lineRule="auto"/>
        <w:jc w:val="both"/>
        <w:rPr>
          <w:rFonts w:ascii="Calibri Light" w:hAnsi="Calibri Light" w:cs="Calibri Light"/>
          <w:iCs/>
          <w:lang w:val="de-DE"/>
        </w:rPr>
      </w:pPr>
      <w:r>
        <w:rPr>
          <w:rFonts w:ascii="Calibri Light" w:hAnsi="Calibri Light" w:cs="Calibri Light"/>
        </w:rPr>
        <w:t xml:space="preserve">Syafrudin, N., Rafiuddin, N., &amp; Ismail, N. (2024). Usaha Tani Rumput Laut dalam Meningkatkan Perekonomian Keluarga Perspektif Ekonomi Islam. </w:t>
      </w:r>
      <w:r>
        <w:rPr>
          <w:rFonts w:ascii="Calibri Light" w:hAnsi="Calibri Light" w:cs="Calibri Light"/>
          <w:i/>
          <w:iCs/>
          <w:lang w:val="de-DE"/>
        </w:rPr>
        <w:t>El-Mal Jurnal Kajian Ekonomi &amp; Bisnis Islam</w:t>
      </w:r>
      <w:r>
        <w:rPr>
          <w:rFonts w:ascii="Calibri Light" w:hAnsi="Calibri Light" w:cs="Calibri Light"/>
          <w:lang w:val="de-DE"/>
        </w:rPr>
        <w:t xml:space="preserve">, </w:t>
      </w:r>
      <w:r>
        <w:rPr>
          <w:rFonts w:ascii="Calibri Light" w:hAnsi="Calibri Light" w:cs="Calibri Light"/>
          <w:i/>
          <w:iCs/>
          <w:lang w:val="de-DE"/>
        </w:rPr>
        <w:t>5</w:t>
      </w:r>
      <w:r>
        <w:rPr>
          <w:rFonts w:ascii="Calibri Light" w:hAnsi="Calibri Light" w:cs="Calibri Light"/>
          <w:lang w:val="de-DE"/>
        </w:rPr>
        <w:t xml:space="preserve">(7). </w:t>
      </w:r>
      <w:r>
        <w:rPr>
          <w:rStyle w:val="url"/>
          <w:rFonts w:ascii="Calibri Light" w:hAnsi="Calibri Light" w:cs="Calibri Light"/>
          <w:lang w:val="de-DE"/>
        </w:rPr>
        <w:t>https://doi.org/10.47467/elmal.v5i7.3965.</w:t>
      </w:r>
    </w:p>
    <w:p w:rsidR="001823E0" w:rsidRDefault="009C58BB">
      <w:pPr>
        <w:pStyle w:val="ListParagraph"/>
        <w:numPr>
          <w:ilvl w:val="0"/>
          <w:numId w:val="11"/>
        </w:numPr>
        <w:spacing w:line="240" w:lineRule="auto"/>
        <w:jc w:val="both"/>
        <w:rPr>
          <w:rFonts w:ascii="Calibri Light" w:hAnsi="Calibri Light" w:cs="Calibri Light"/>
          <w:iCs/>
        </w:rPr>
      </w:pPr>
      <w:r>
        <w:rPr>
          <w:rFonts w:ascii="Calibri Light" w:hAnsi="Calibri Light" w:cs="Calibri Light"/>
          <w:iCs/>
        </w:rPr>
        <w:t xml:space="preserve">The Revolutionary Government of Zanzibar, </w:t>
      </w:r>
      <w:r>
        <w:rPr>
          <w:rFonts w:ascii="Calibri Light" w:hAnsi="Calibri Light" w:cs="Calibri Light"/>
          <w:i/>
          <w:iCs/>
        </w:rPr>
        <w:t>Report submitted to the Zanzibar Planning Commission for an in-depth study to explore the best way to increase seaweed production, improve seaweed trade, value addition, and processing in Zanzibar</w:t>
      </w:r>
      <w:r>
        <w:rPr>
          <w:rFonts w:ascii="Calibri Light" w:hAnsi="Calibri Light" w:cs="Calibri Light"/>
          <w:iCs/>
        </w:rPr>
        <w:t>, submitted by the Special Task Force, September 2018.</w:t>
      </w:r>
    </w:p>
    <w:p w:rsidR="001823E0" w:rsidRPr="00A71428" w:rsidRDefault="009C58BB">
      <w:pPr>
        <w:pStyle w:val="ListParagraph"/>
        <w:numPr>
          <w:ilvl w:val="0"/>
          <w:numId w:val="11"/>
        </w:numPr>
        <w:spacing w:line="240" w:lineRule="auto"/>
        <w:jc w:val="both"/>
        <w:rPr>
          <w:rFonts w:ascii="Calibri Light" w:hAnsi="Calibri Light" w:cs="Calibri Light"/>
          <w:bCs/>
          <w:iCs/>
          <w:highlight w:val="yellow"/>
        </w:rPr>
      </w:pPr>
      <w:r w:rsidRPr="00A71428">
        <w:rPr>
          <w:rFonts w:ascii="Calibri Light" w:hAnsi="Calibri Light" w:cs="Calibri Light"/>
          <w:bCs/>
          <w:iCs/>
          <w:highlight w:val="yellow"/>
          <w:lang w:val="en-US"/>
        </w:rPr>
        <w:t xml:space="preserve">Utonga, D. (2022). Analysis of Maize Profitability among Smallholder Farmers in Mbinga District, Tanzania. </w:t>
      </w:r>
      <w:r w:rsidRPr="00A71428">
        <w:rPr>
          <w:rFonts w:ascii="Calibri Light" w:hAnsi="Calibri Light" w:cs="Calibri Light"/>
          <w:bCs/>
          <w:i/>
          <w:highlight w:val="yellow"/>
          <w:lang w:val="en-US"/>
        </w:rPr>
        <w:t>International Journal of Research Publication and Reviews</w:t>
      </w:r>
      <w:r w:rsidRPr="00A71428">
        <w:rPr>
          <w:rFonts w:ascii="Calibri Light" w:hAnsi="Calibri Light" w:cs="Calibri Light"/>
          <w:bCs/>
          <w:iCs/>
          <w:highlight w:val="yellow"/>
          <w:lang w:val="en-US"/>
        </w:rPr>
        <w:t xml:space="preserve">, 1031–1035. </w:t>
      </w:r>
      <w:hyperlink r:id="rId25" w:history="1">
        <w:r w:rsidRPr="00A71428">
          <w:rPr>
            <w:rStyle w:val="Hyperlink"/>
            <w:rFonts w:ascii="Calibri Light" w:hAnsi="Calibri Light" w:cs="Calibri Light"/>
            <w:bCs/>
            <w:iCs/>
            <w:color w:val="auto"/>
            <w:highlight w:val="yellow"/>
            <w:lang w:val="en-US"/>
          </w:rPr>
          <w:t>https://doi.org/10.55248/gengpi.2022.3.2.13</w:t>
        </w:r>
      </w:hyperlink>
      <w:r w:rsidRPr="00A71428">
        <w:rPr>
          <w:rFonts w:ascii="Calibri Light" w:hAnsi="Calibri Light" w:cs="Calibri Light"/>
          <w:bCs/>
          <w:iCs/>
          <w:highlight w:val="yellow"/>
          <w:lang w:val="en-US"/>
        </w:rPr>
        <w:t>.</w:t>
      </w:r>
    </w:p>
    <w:p w:rsidR="001823E0" w:rsidRPr="00A71428" w:rsidRDefault="009C58BB">
      <w:pPr>
        <w:pStyle w:val="ListParagraph"/>
        <w:numPr>
          <w:ilvl w:val="0"/>
          <w:numId w:val="11"/>
        </w:numPr>
        <w:spacing w:line="240" w:lineRule="auto"/>
        <w:jc w:val="both"/>
        <w:rPr>
          <w:rFonts w:ascii="Calibri Light" w:hAnsi="Calibri Light" w:cs="Calibri Light"/>
          <w:iCs/>
          <w:highlight w:val="yellow"/>
        </w:rPr>
      </w:pPr>
      <w:r w:rsidRPr="00A71428">
        <w:rPr>
          <w:rFonts w:ascii="Calibri Light" w:hAnsi="Calibri Light" w:cs="Calibri Light"/>
          <w:iCs/>
          <w:highlight w:val="yellow"/>
        </w:rPr>
        <w:lastRenderedPageBreak/>
        <w:t xml:space="preserve">Utonga, D., Ndoweka, B. N., Sewando, P. T., &amp; Sule, P. M. (2023). Adoption of sustainable land management practices in Mbulu district, a semi-arid area in northern Tanzania. </w:t>
      </w:r>
      <w:r w:rsidRPr="00A71428">
        <w:rPr>
          <w:rFonts w:ascii="Calibri Light" w:hAnsi="Calibri Light" w:cs="Calibri Light"/>
          <w:i/>
          <w:highlight w:val="yellow"/>
        </w:rPr>
        <w:t>Asian Journal of Environment &amp; Ecology</w:t>
      </w:r>
      <w:r w:rsidRPr="00A71428">
        <w:rPr>
          <w:rFonts w:ascii="Calibri Light" w:hAnsi="Calibri Light" w:cs="Calibri Light"/>
          <w:iCs/>
          <w:highlight w:val="yellow"/>
        </w:rPr>
        <w:t xml:space="preserve">, 20(3), 36–47. </w:t>
      </w:r>
      <w:hyperlink r:id="rId26" w:history="1">
        <w:r w:rsidRPr="00A71428">
          <w:rPr>
            <w:rStyle w:val="Hyperlink"/>
            <w:rFonts w:ascii="Calibri Light" w:hAnsi="Calibri Light" w:cs="Calibri Light"/>
            <w:iCs/>
            <w:color w:val="auto"/>
            <w:highlight w:val="yellow"/>
          </w:rPr>
          <w:t>https://doi.org/10.9734/ajee/2023/v20i3441</w:t>
        </w:r>
      </w:hyperlink>
      <w:r w:rsidRPr="00A71428">
        <w:rPr>
          <w:rFonts w:ascii="Calibri Light" w:hAnsi="Calibri Light" w:cs="Calibri Light"/>
          <w:iCs/>
          <w:highlight w:val="yellow"/>
        </w:rPr>
        <w:t>.</w:t>
      </w:r>
    </w:p>
    <w:sectPr w:rsidR="001823E0" w:rsidRPr="00A71428">
      <w:headerReference w:type="even" r:id="rId27"/>
      <w:headerReference w:type="default" r:id="rId28"/>
      <w:footerReference w:type="even" r:id="rId29"/>
      <w:footerReference w:type="default" r:id="rId30"/>
      <w:headerReference w:type="first" r:id="rId31"/>
      <w:pgSz w:w="12240" w:h="15840"/>
      <w:pgMar w:top="993" w:right="1440" w:bottom="993"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ell" w:date="2025-01-02T20:50:00Z" w:initials="D">
    <w:p w:rsidR="00362FA4" w:rsidRPr="00362FA4" w:rsidRDefault="00362FA4" w:rsidP="00362FA4">
      <w:pPr>
        <w:spacing w:line="360" w:lineRule="auto"/>
        <w:jc w:val="center"/>
        <w:rPr>
          <w:rFonts w:ascii="Calibri Light" w:hAnsi="Calibri Light" w:cs="Calibri Light"/>
          <w:b/>
          <w:sz w:val="24"/>
          <w:szCs w:val="24"/>
        </w:rPr>
      </w:pPr>
      <w:r>
        <w:rPr>
          <w:rStyle w:val="CommentReference"/>
        </w:rPr>
        <w:annotationRef/>
      </w:r>
      <w:r>
        <w:rPr>
          <w:rFonts w:ascii="Calibri Light" w:hAnsi="Calibri Light" w:cs="Calibri Light"/>
          <w:b/>
          <w:sz w:val="24"/>
          <w:szCs w:val="24"/>
        </w:rPr>
        <w:t xml:space="preserve">Factors Influencing </w:t>
      </w:r>
      <w:r w:rsidR="003A20EB">
        <w:rPr>
          <w:rFonts w:ascii="Calibri Light" w:hAnsi="Calibri Light" w:cs="Calibri Light"/>
          <w:b/>
          <w:sz w:val="24"/>
          <w:szCs w:val="24"/>
        </w:rPr>
        <w:t>Gender</w:t>
      </w:r>
      <w:r>
        <w:rPr>
          <w:rFonts w:ascii="Calibri Light" w:hAnsi="Calibri Light" w:cs="Calibri Light"/>
          <w:b/>
          <w:sz w:val="24"/>
          <w:szCs w:val="24"/>
        </w:rPr>
        <w:t xml:space="preserve"> Participation in Seaweed Farming in Zanzibar, Tanzania: Empirical Analysis from a </w:t>
      </w:r>
      <w:proofErr w:type="spellStart"/>
      <w:r>
        <w:rPr>
          <w:rFonts w:ascii="Calibri Light" w:hAnsi="Calibri Light" w:cs="Calibri Light"/>
          <w:b/>
          <w:sz w:val="24"/>
          <w:szCs w:val="24"/>
        </w:rPr>
        <w:t>Logit</w:t>
      </w:r>
      <w:proofErr w:type="spellEnd"/>
      <w:r>
        <w:rPr>
          <w:rFonts w:ascii="Calibri Light" w:hAnsi="Calibri Light" w:cs="Calibri Light"/>
          <w:b/>
          <w:sz w:val="24"/>
          <w:szCs w:val="24"/>
        </w:rPr>
        <w:t xml:space="preserve"> Model</w:t>
      </w:r>
      <w:r>
        <w:rPr>
          <w:rStyle w:val="CommentReference"/>
        </w:rPr>
        <w:annotationRef/>
      </w:r>
    </w:p>
  </w:comment>
  <w:comment w:id="2" w:author="Dell" w:date="2025-01-02T18:52:00Z" w:initials="D">
    <w:p w:rsidR="00362FA4" w:rsidRDefault="00362FA4">
      <w:pPr>
        <w:pStyle w:val="CommentText"/>
      </w:pPr>
      <w:r>
        <w:rPr>
          <w:rStyle w:val="CommentReference"/>
        </w:rPr>
        <w:annotationRef/>
      </w:r>
      <w:r>
        <w:t>Reference not found suggested to add in reference section</w:t>
      </w:r>
    </w:p>
  </w:comment>
  <w:comment w:id="3" w:author="Dell" w:date="2025-01-02T17:01:00Z" w:initials="D">
    <w:p w:rsidR="00362FA4" w:rsidRDefault="00362FA4">
      <w:pPr>
        <w:pStyle w:val="CommentText"/>
      </w:pPr>
      <w:r>
        <w:rPr>
          <w:rStyle w:val="CommentReference"/>
        </w:rPr>
        <w:annotationRef/>
      </w:r>
      <w:r>
        <w:t>Italics</w:t>
      </w:r>
    </w:p>
  </w:comment>
  <w:comment w:id="4" w:author="Dell" w:date="2025-01-02T18:53:00Z" w:initials="D">
    <w:p w:rsidR="00362FA4" w:rsidRDefault="00362FA4">
      <w:pPr>
        <w:pStyle w:val="CommentText"/>
      </w:pPr>
      <w:r>
        <w:rPr>
          <w:rStyle w:val="CommentReference"/>
        </w:rPr>
        <w:annotationRef/>
      </w:r>
      <w:r>
        <w:t>Reference not found suggested to add in reference section</w:t>
      </w:r>
    </w:p>
  </w:comment>
  <w:comment w:id="5" w:author="Dell" w:date="2025-01-02T18:53:00Z" w:initials="D">
    <w:p w:rsidR="00362FA4" w:rsidRDefault="00362FA4">
      <w:pPr>
        <w:pStyle w:val="CommentText"/>
      </w:pPr>
      <w:r>
        <w:rPr>
          <w:rStyle w:val="CommentReference"/>
        </w:rPr>
        <w:annotationRef/>
      </w:r>
      <w:r>
        <w:t>Reference not found suggested to add in reference section</w:t>
      </w:r>
    </w:p>
  </w:comment>
  <w:comment w:id="6" w:author="Dell" w:date="2025-01-02T17:01:00Z" w:initials="D">
    <w:p w:rsidR="00362FA4" w:rsidRDefault="00362FA4">
      <w:pPr>
        <w:pStyle w:val="CommentText"/>
      </w:pPr>
      <w:r>
        <w:rPr>
          <w:rStyle w:val="CommentReference"/>
        </w:rPr>
        <w:annotationRef/>
      </w:r>
      <w:r>
        <w:t>Italics</w:t>
      </w:r>
    </w:p>
  </w:comment>
  <w:comment w:id="7" w:author="Dell" w:date="2025-01-02T18:28:00Z" w:initials="D">
    <w:p w:rsidR="00362FA4" w:rsidRDefault="00362FA4">
      <w:pPr>
        <w:pStyle w:val="CommentText"/>
      </w:pPr>
      <w:r>
        <w:rPr>
          <w:rStyle w:val="CommentReference"/>
        </w:rPr>
        <w:annotationRef/>
      </w:r>
      <w:r>
        <w:t>Italics</w:t>
      </w:r>
    </w:p>
  </w:comment>
  <w:comment w:id="8" w:author="Dell" w:date="2025-01-02T18:27:00Z" w:initials="D">
    <w:p w:rsidR="00362FA4" w:rsidRDefault="00362FA4">
      <w:pPr>
        <w:pStyle w:val="CommentText"/>
      </w:pPr>
      <w:r>
        <w:rPr>
          <w:rStyle w:val="CommentReference"/>
        </w:rPr>
        <w:annotationRef/>
      </w:r>
      <w:r>
        <w:t xml:space="preserve">Recommended to add map of representing study area along with </w:t>
      </w:r>
      <w:proofErr w:type="spellStart"/>
      <w:r>
        <w:t>geocoordinates</w:t>
      </w:r>
      <w:proofErr w:type="spellEnd"/>
      <w:r>
        <w:t xml:space="preserve"> may be good</w:t>
      </w:r>
    </w:p>
  </w:comment>
  <w:comment w:id="13" w:author="Dell" w:date="2025-01-02T18:06:00Z" w:initials="D">
    <w:p w:rsidR="00362FA4" w:rsidRDefault="00362FA4">
      <w:pPr>
        <w:pStyle w:val="CommentText"/>
      </w:pPr>
      <w:r>
        <w:rPr>
          <w:rStyle w:val="CommentReference"/>
        </w:rPr>
        <w:annotationRef/>
      </w:r>
      <w:r>
        <w:t xml:space="preserve">Represent in representative images of study area will be good and data in Graph will be better </w:t>
      </w:r>
    </w:p>
  </w:comment>
  <w:comment w:id="14" w:author="Dell" w:date="2025-01-02T17:38:00Z" w:initials="D">
    <w:p w:rsidR="00362FA4" w:rsidRDefault="00362FA4">
      <w:pPr>
        <w:pStyle w:val="CommentText"/>
      </w:pPr>
      <w:r>
        <w:rPr>
          <w:rStyle w:val="CommentReference"/>
        </w:rPr>
        <w:annotationRef/>
      </w:r>
      <w:r>
        <w:t>Italics</w:t>
      </w:r>
    </w:p>
  </w:comment>
  <w:comment w:id="15" w:author="Dell" w:date="2025-01-02T18:50:00Z" w:initials="D">
    <w:p w:rsidR="00362FA4" w:rsidRDefault="00362FA4" w:rsidP="008000AA">
      <w:pPr>
        <w:spacing w:before="100" w:beforeAutospacing="1" w:after="100" w:afterAutospacing="1" w:line="360" w:lineRule="auto"/>
        <w:jc w:val="both"/>
        <w:rPr>
          <w:rFonts w:ascii="Calibri Light" w:eastAsia="Times New Roman" w:hAnsi="Calibri Light" w:cs="Calibri Light"/>
          <w:b/>
          <w:sz w:val="24"/>
          <w:szCs w:val="24"/>
        </w:rPr>
      </w:pPr>
      <w:r>
        <w:rPr>
          <w:rStyle w:val="CommentReference"/>
        </w:rPr>
        <w:annotationRef/>
      </w:r>
      <w:r>
        <w:rPr>
          <w:rFonts w:ascii="Calibri Light" w:eastAsia="Times New Roman" w:hAnsi="Calibri Light" w:cs="Calibri Light"/>
          <w:b/>
          <w:bCs/>
          <w:sz w:val="24"/>
          <w:szCs w:val="24"/>
        </w:rPr>
        <w:t>Perception on Land usage impact on seaweed farming</w:t>
      </w:r>
      <w:r>
        <w:rPr>
          <w:rFonts w:ascii="Calibri Light" w:eastAsia="Times New Roman" w:hAnsi="Calibri Light" w:cs="Calibri Light"/>
          <w:b/>
          <w:sz w:val="24"/>
          <w:szCs w:val="24"/>
        </w:rPr>
        <w:t xml:space="preserve"> </w:t>
      </w:r>
    </w:p>
    <w:p w:rsidR="00362FA4" w:rsidRDefault="00362FA4">
      <w:pPr>
        <w:pStyle w:val="CommentText"/>
      </w:pPr>
    </w:p>
  </w:comment>
  <w:comment w:id="16" w:author="Dell" w:date="2025-01-02T18:48:00Z" w:initials="D">
    <w:p w:rsidR="00362FA4" w:rsidRPr="00343308" w:rsidRDefault="00362FA4" w:rsidP="00343308">
      <w:pPr>
        <w:spacing w:before="100" w:beforeAutospacing="1" w:after="100" w:afterAutospacing="1" w:line="360" w:lineRule="auto"/>
        <w:jc w:val="both"/>
        <w:rPr>
          <w:rFonts w:ascii="Calibri Light" w:eastAsia="Times New Roman" w:hAnsi="Calibri Light" w:cs="Calibri Light"/>
          <w:b/>
          <w:sz w:val="24"/>
          <w:szCs w:val="24"/>
        </w:rPr>
      </w:pPr>
      <w:r>
        <w:rPr>
          <w:rStyle w:val="CommentReference"/>
        </w:rPr>
        <w:annotationRef/>
      </w:r>
      <w:r>
        <w:t xml:space="preserve">Suggested title: </w:t>
      </w:r>
      <w:r>
        <w:rPr>
          <w:rFonts w:ascii="Calibri Light" w:eastAsia="Times New Roman" w:hAnsi="Calibri Light" w:cs="Calibri Light"/>
          <w:sz w:val="24"/>
          <w:szCs w:val="24"/>
        </w:rPr>
        <w:t xml:space="preserve">Perception on Seaweed </w:t>
      </w:r>
      <w:r w:rsidRPr="00343308">
        <w:rPr>
          <w:rFonts w:ascii="Calibri Light" w:eastAsia="Times New Roman" w:hAnsi="Calibri Light" w:cs="Calibri Light"/>
          <w:bCs/>
          <w:sz w:val="24"/>
          <w:szCs w:val="24"/>
        </w:rPr>
        <w:t>Farming Methods</w:t>
      </w:r>
      <w:r w:rsidRPr="00343308">
        <w:rPr>
          <w:rStyle w:val="CommentReference"/>
        </w:rPr>
        <w:annotationRef/>
      </w:r>
      <w:r w:rsidRPr="00343308">
        <w:rPr>
          <w:rFonts w:ascii="Calibri Light" w:eastAsia="Times New Roman" w:hAnsi="Calibri Light" w:cs="Calibri Light"/>
          <w:bCs/>
          <w:sz w:val="24"/>
          <w:szCs w:val="24"/>
        </w:rPr>
        <w:t xml:space="preserve"> VS Men participation</w:t>
      </w:r>
    </w:p>
  </w:comment>
  <w:comment w:id="17" w:author="Dell" w:date="2025-01-02T18:45:00Z" w:initials="D">
    <w:p w:rsidR="00362FA4" w:rsidRDefault="00362FA4">
      <w:pPr>
        <w:pStyle w:val="CommentText"/>
      </w:pPr>
      <w:r>
        <w:rPr>
          <w:rStyle w:val="CommentReference"/>
        </w:rPr>
        <w:annotationRef/>
      </w:r>
      <w:r>
        <w:t>Italics</w:t>
      </w:r>
    </w:p>
  </w:comment>
  <w:comment w:id="18" w:author="Dell" w:date="2025-01-02T18:10:00Z" w:initials="D">
    <w:p w:rsidR="00362FA4" w:rsidRDefault="00362FA4">
      <w:pPr>
        <w:pStyle w:val="CommentText"/>
      </w:pPr>
      <w:r>
        <w:rPr>
          <w:rStyle w:val="CommentReference"/>
        </w:rPr>
        <w:annotationRef/>
      </w:r>
      <w:r>
        <w:t xml:space="preserve">Suggested title: </w:t>
      </w:r>
      <w:r>
        <w:rPr>
          <w:rFonts w:ascii="Calibri Light" w:eastAsia="Times New Roman" w:hAnsi="Calibri Light" w:cs="Calibri Light"/>
          <w:sz w:val="24"/>
          <w:szCs w:val="24"/>
        </w:rPr>
        <w:t>Perception on Education level and men's participation in seaweed farming</w:t>
      </w:r>
    </w:p>
  </w:comment>
  <w:comment w:id="19" w:author="Dell" w:date="2025-01-02T17:45:00Z" w:initials="D">
    <w:p w:rsidR="00362FA4" w:rsidRDefault="00362FA4">
      <w:pPr>
        <w:pStyle w:val="CommentText"/>
      </w:pPr>
      <w:r>
        <w:rPr>
          <w:rStyle w:val="CommentReference"/>
        </w:rPr>
        <w:annotationRef/>
      </w:r>
      <w:r>
        <w:t>Reference of author is cited but year not matching with reference suggested to correct as per actual</w:t>
      </w:r>
    </w:p>
  </w:comment>
  <w:comment w:id="20" w:author="Dell" w:date="2025-01-02T18:12:00Z" w:initials="D">
    <w:p w:rsidR="00362FA4" w:rsidRDefault="00362FA4">
      <w:pPr>
        <w:pStyle w:val="CommentText"/>
      </w:pPr>
      <w:r>
        <w:rPr>
          <w:rStyle w:val="CommentReference"/>
        </w:rPr>
        <w:annotationRef/>
      </w:r>
      <w:r>
        <w:t xml:space="preserve">Suggested title: </w:t>
      </w:r>
      <w:r>
        <w:rPr>
          <w:rFonts w:ascii="Calibri Light" w:eastAsia="Times New Roman" w:hAnsi="Calibri Light" w:cs="Calibri Light"/>
          <w:sz w:val="24"/>
          <w:szCs w:val="24"/>
        </w:rPr>
        <w:t xml:space="preserve">Perception on </w:t>
      </w:r>
      <w:r>
        <w:rPr>
          <w:rFonts w:ascii="Calibri Light" w:hAnsi="Calibri Light" w:cs="Calibri Light"/>
          <w:sz w:val="24"/>
          <w:szCs w:val="24"/>
        </w:rPr>
        <w:t>price and marketing access impact on men's participation in seaweed farming in Zanzibar</w:t>
      </w:r>
    </w:p>
  </w:comment>
  <w:comment w:id="21" w:author="Dell" w:date="2025-01-02T17:51:00Z" w:initials="D">
    <w:p w:rsidR="00362FA4" w:rsidRDefault="00362FA4">
      <w:pPr>
        <w:pStyle w:val="CommentText"/>
      </w:pPr>
      <w:r>
        <w:rPr>
          <w:rStyle w:val="CommentReference"/>
        </w:rPr>
        <w:annotationRef/>
      </w:r>
      <w:r>
        <w:t>Italics</w:t>
      </w:r>
    </w:p>
  </w:comment>
  <w:comment w:id="22" w:author="Dell" w:date="2025-01-02T17:52:00Z" w:initials="D">
    <w:p w:rsidR="00362FA4" w:rsidRDefault="00362FA4">
      <w:pPr>
        <w:pStyle w:val="CommentText"/>
      </w:pPr>
      <w:r>
        <w:rPr>
          <w:rStyle w:val="CommentReference"/>
        </w:rPr>
        <w:annotationRef/>
      </w:r>
      <w:r>
        <w:t>Italics</w:t>
      </w:r>
    </w:p>
  </w:comment>
  <w:comment w:id="23" w:author="Dell" w:date="2025-01-02T18:15:00Z" w:initials="D">
    <w:p w:rsidR="00362FA4" w:rsidRDefault="00362FA4">
      <w:pPr>
        <w:pStyle w:val="CommentText"/>
      </w:pPr>
      <w:r>
        <w:rPr>
          <w:rStyle w:val="CommentReference"/>
        </w:rPr>
        <w:annotationRef/>
      </w:r>
      <w:r>
        <w:t xml:space="preserve">Suggested title: </w:t>
      </w:r>
      <w:r>
        <w:rPr>
          <w:rFonts w:ascii="Calibri Light" w:eastAsia="Times New Roman" w:hAnsi="Calibri Light" w:cs="Calibri Light"/>
          <w:sz w:val="24"/>
          <w:szCs w:val="24"/>
        </w:rPr>
        <w:t xml:space="preserve">Perception on </w:t>
      </w:r>
      <w:r>
        <w:rPr>
          <w:rFonts w:ascii="Calibri Light" w:hAnsi="Calibri Light" w:cs="Calibri Light"/>
          <w:sz w:val="24"/>
          <w:szCs w:val="24"/>
        </w:rPr>
        <w:t xml:space="preserve">input costs </w:t>
      </w:r>
      <w:proofErr w:type="spellStart"/>
      <w:r>
        <w:rPr>
          <w:rFonts w:ascii="Calibri Light" w:hAnsi="Calibri Light" w:cs="Calibri Light"/>
          <w:sz w:val="24"/>
          <w:szCs w:val="24"/>
        </w:rPr>
        <w:t>vs</w:t>
      </w:r>
      <w:proofErr w:type="spellEnd"/>
      <w:r>
        <w:rPr>
          <w:rFonts w:ascii="Calibri Light" w:hAnsi="Calibri Light" w:cs="Calibri Light"/>
          <w:sz w:val="24"/>
          <w:szCs w:val="24"/>
        </w:rPr>
        <w:t xml:space="preserve"> men's participation in seaweed farming</w:t>
      </w:r>
    </w:p>
  </w:comment>
  <w:comment w:id="24" w:author="Dell" w:date="2025-01-02T18:23:00Z" w:initials="D">
    <w:p w:rsidR="00362FA4" w:rsidRDefault="00362FA4">
      <w:pPr>
        <w:pStyle w:val="CommentText"/>
      </w:pPr>
      <w:r>
        <w:rPr>
          <w:rStyle w:val="CommentReference"/>
        </w:rPr>
        <w:annotationRef/>
      </w:r>
      <w:r>
        <w:t xml:space="preserve">Suggested title:  Perception on </w:t>
      </w:r>
      <w:r>
        <w:rPr>
          <w:rFonts w:ascii="Calibri Light" w:hAnsi="Calibri Light" w:cs="Calibri Light"/>
          <w:sz w:val="24"/>
          <w:szCs w:val="24"/>
        </w:rPr>
        <w:t>cultural constraints impact on men's participation in seaweed farming in Zanzibar</w:t>
      </w:r>
    </w:p>
  </w:comment>
  <w:comment w:id="25" w:author="Dell" w:date="2025-01-02T18:35:00Z" w:initials="D">
    <w:p w:rsidR="00362FA4" w:rsidRDefault="00362FA4">
      <w:pPr>
        <w:pStyle w:val="CommentText"/>
      </w:pPr>
      <w:r>
        <w:rPr>
          <w:rStyle w:val="CommentReference"/>
        </w:rPr>
        <w:annotationRef/>
      </w:r>
      <w:r>
        <w:t>Italics</w:t>
      </w:r>
    </w:p>
  </w:comment>
  <w:comment w:id="26" w:author="Dell" w:date="2025-01-02T18:33:00Z" w:initials="D">
    <w:p w:rsidR="00362FA4" w:rsidRDefault="00362FA4">
      <w:pPr>
        <w:pStyle w:val="CommentText"/>
      </w:pPr>
      <w:r>
        <w:rPr>
          <w:rStyle w:val="CommentReference"/>
        </w:rPr>
        <w:annotationRef/>
      </w:r>
      <w:r>
        <w:t xml:space="preserve">Suggested title:  Perception on </w:t>
      </w:r>
      <w:r>
        <w:rPr>
          <w:rFonts w:ascii="Calibri Light" w:hAnsi="Calibri Light" w:cs="Calibri Light"/>
          <w:sz w:val="24"/>
          <w:szCs w:val="24"/>
        </w:rPr>
        <w:t>Climate change and health issues impact on man’s participation in seaweed farming</w:t>
      </w:r>
    </w:p>
  </w:comment>
  <w:comment w:id="27" w:author="Dell" w:date="2025-01-02T18:38:00Z" w:initials="D">
    <w:p w:rsidR="00362FA4" w:rsidRDefault="00362FA4">
      <w:pPr>
        <w:pStyle w:val="CommentText"/>
      </w:pPr>
      <w:r>
        <w:rPr>
          <w:rStyle w:val="CommentReference"/>
        </w:rPr>
        <w:annotationRef/>
      </w:r>
      <w:r>
        <w:t xml:space="preserve">Suggested title:  Perception on </w:t>
      </w:r>
      <w:r>
        <w:rPr>
          <w:rFonts w:ascii="Calibri Light" w:hAnsi="Calibri Light" w:cs="Calibri Light"/>
          <w:sz w:val="24"/>
          <w:szCs w:val="24"/>
        </w:rPr>
        <w:t>relationship between the harvest season and men's participation in seaweed farming</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623" w:rsidRDefault="00344623">
      <w:pPr>
        <w:spacing w:after="0" w:line="240" w:lineRule="auto"/>
      </w:pPr>
      <w:r>
        <w:separator/>
      </w:r>
    </w:p>
  </w:endnote>
  <w:endnote w:type="continuationSeparator" w:id="0">
    <w:p w:rsidR="00344623" w:rsidRDefault="00344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altName w:val="Segoe UI"/>
    <w:panose1 w:val="020B0502040204020203"/>
    <w:charset w:val="00"/>
    <w:family w:val="swiss"/>
    <w:pitch w:val="variable"/>
    <w:sig w:usb0="E4002EFF" w:usb1="C000E47F" w:usb2="00000009" w:usb3="00000000" w:csb0="000001FF" w:csb1="00000000"/>
  </w:font>
  <w:font w:name="Calibri Light">
    <w:altName w:val="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A4" w:rsidRDefault="00362F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A4" w:rsidRDefault="00362F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623" w:rsidRDefault="00344623">
      <w:pPr>
        <w:spacing w:after="0" w:line="240" w:lineRule="auto"/>
      </w:pPr>
      <w:r>
        <w:separator/>
      </w:r>
    </w:p>
  </w:footnote>
  <w:footnote w:type="continuationSeparator" w:id="0">
    <w:p w:rsidR="00344623" w:rsidRDefault="003446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A4" w:rsidRDefault="00362FA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8" o:spid="_x0000_s2051" type="#_x0000_t136" style="position:absolute;margin-left:0;margin-top:0;width:555.6pt;height:104.15pt;rotation:-45;z-index:-251658752;visibility:visible;mso-wrap-distance-left:0;mso-wrap-distance-right:0;mso-position-horizontal:center;mso-position-horizontal-relative:margin;mso-position-vertical:center;mso-position-vertical-relative:margin;mso-width-relative:page;mso-height-relative:page"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A4" w:rsidRDefault="00362FA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9" o:spid="_x0000_s2050" type="#_x0000_t136" style="position:absolute;margin-left:0;margin-top:0;width:555.6pt;height:104.15pt;rotation:-45;z-index:-251657728;visibility:visible;mso-wrap-distance-left:0;mso-wrap-distance-right:0;mso-position-horizontal:center;mso-position-horizontal-relative:margin;mso-position-vertical:center;mso-position-vertical-relative:margin;mso-width-relative:page;mso-height-relative:page"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FA4" w:rsidRDefault="00362FA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100" o:spid="_x0000_s2049" type="#_x0000_t136" style="position:absolute;margin-left:0;margin-top:0;width:555.6pt;height:104.15pt;rotation:-45;z-index:-251659776;visibility:visible;mso-wrap-distance-left:0;mso-wrap-distance-right:0;mso-position-horizontal:center;mso-position-horizontal-relative:margin;mso-position-vertical:center;mso-position-vertical-relative:margin;mso-width-relative:page;mso-height-relative:page"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82ABD2"/>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
    <w:nsid w:val="00000002"/>
    <w:multiLevelType w:val="multilevel"/>
    <w:tmpl w:val="24FE835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nsid w:val="00000003"/>
    <w:multiLevelType w:val="hybridMultilevel"/>
    <w:tmpl w:val="1B5AB39E"/>
    <w:lvl w:ilvl="0" w:tplc="0809000F">
      <w:start w:val="1"/>
      <w:numFmt w:val="decimal"/>
      <w:lvlText w:val="%1."/>
      <w:lvlJc w:val="left"/>
      <w:pPr>
        <w:ind w:left="709" w:hanging="360"/>
      </w:pPr>
    </w:lvl>
    <w:lvl w:ilvl="1" w:tplc="08090019" w:tentative="1">
      <w:start w:val="1"/>
      <w:numFmt w:val="lowerLetter"/>
      <w:lvlText w:val="%2."/>
      <w:lvlJc w:val="left"/>
      <w:pPr>
        <w:ind w:left="1429" w:hanging="360"/>
      </w:pPr>
    </w:lvl>
    <w:lvl w:ilvl="2" w:tplc="0809001B" w:tentative="1">
      <w:start w:val="1"/>
      <w:numFmt w:val="lowerRoman"/>
      <w:lvlText w:val="%3."/>
      <w:lvlJc w:val="right"/>
      <w:pPr>
        <w:ind w:left="2149" w:hanging="180"/>
      </w:pPr>
    </w:lvl>
    <w:lvl w:ilvl="3" w:tplc="0809000F" w:tentative="1">
      <w:start w:val="1"/>
      <w:numFmt w:val="decimal"/>
      <w:lvlText w:val="%4."/>
      <w:lvlJc w:val="left"/>
      <w:pPr>
        <w:ind w:left="2869" w:hanging="360"/>
      </w:pPr>
    </w:lvl>
    <w:lvl w:ilvl="4" w:tplc="08090019" w:tentative="1">
      <w:start w:val="1"/>
      <w:numFmt w:val="lowerLetter"/>
      <w:lvlText w:val="%5."/>
      <w:lvlJc w:val="left"/>
      <w:pPr>
        <w:ind w:left="3589" w:hanging="360"/>
      </w:pPr>
    </w:lvl>
    <w:lvl w:ilvl="5" w:tplc="0809001B" w:tentative="1">
      <w:start w:val="1"/>
      <w:numFmt w:val="lowerRoman"/>
      <w:lvlText w:val="%6."/>
      <w:lvlJc w:val="right"/>
      <w:pPr>
        <w:ind w:left="4309" w:hanging="180"/>
      </w:pPr>
    </w:lvl>
    <w:lvl w:ilvl="6" w:tplc="0809000F" w:tentative="1">
      <w:start w:val="1"/>
      <w:numFmt w:val="decimal"/>
      <w:lvlText w:val="%7."/>
      <w:lvlJc w:val="left"/>
      <w:pPr>
        <w:ind w:left="5029" w:hanging="360"/>
      </w:pPr>
    </w:lvl>
    <w:lvl w:ilvl="7" w:tplc="08090019" w:tentative="1">
      <w:start w:val="1"/>
      <w:numFmt w:val="lowerLetter"/>
      <w:lvlText w:val="%8."/>
      <w:lvlJc w:val="left"/>
      <w:pPr>
        <w:ind w:left="5749" w:hanging="360"/>
      </w:pPr>
    </w:lvl>
    <w:lvl w:ilvl="8" w:tplc="0809001B" w:tentative="1">
      <w:start w:val="1"/>
      <w:numFmt w:val="lowerRoman"/>
      <w:lvlText w:val="%9."/>
      <w:lvlJc w:val="right"/>
      <w:pPr>
        <w:ind w:left="6469" w:hanging="180"/>
      </w:pPr>
    </w:lvl>
  </w:abstractNum>
  <w:abstractNum w:abstractNumId="3">
    <w:nsid w:val="00000004"/>
    <w:multiLevelType w:val="multilevel"/>
    <w:tmpl w:val="17F09BDA"/>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nsid w:val="00000005"/>
    <w:multiLevelType w:val="multilevel"/>
    <w:tmpl w:val="B3EAD0B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00000006"/>
    <w:multiLevelType w:val="multilevel"/>
    <w:tmpl w:val="F3AA6C9C"/>
    <w:lvl w:ilvl="0">
      <w:start w:val="1"/>
      <w:numFmt w:val="decimal"/>
      <w:lvlText w:val="%1."/>
      <w:lvlJc w:val="left"/>
      <w:pPr>
        <w:ind w:left="389" w:hanging="243"/>
      </w:pPr>
      <w:rPr>
        <w:rFonts w:ascii="Cambria" w:eastAsia="Cambria" w:hAnsi="Cambria" w:cs="Cambria" w:hint="default"/>
        <w:b/>
        <w:bCs/>
        <w:i w:val="0"/>
        <w:iCs w:val="0"/>
        <w:spacing w:val="-4"/>
        <w:w w:val="100"/>
        <w:sz w:val="22"/>
        <w:szCs w:val="22"/>
        <w:lang w:val="en-US" w:eastAsia="en-US" w:bidi="ar-SA"/>
      </w:rPr>
    </w:lvl>
    <w:lvl w:ilvl="1">
      <w:start w:val="1"/>
      <w:numFmt w:val="decimal"/>
      <w:lvlText w:val="%1.%2."/>
      <w:lvlJc w:val="left"/>
      <w:pPr>
        <w:ind w:left="534" w:hanging="387"/>
      </w:pPr>
      <w:rPr>
        <w:rFonts w:ascii="Cambria" w:eastAsia="Cambria" w:hAnsi="Cambria" w:cs="Cambria" w:hint="default"/>
        <w:b/>
        <w:bCs/>
        <w:i w:val="0"/>
        <w:iCs w:val="0"/>
        <w:spacing w:val="0"/>
        <w:w w:val="97"/>
        <w:sz w:val="20"/>
        <w:szCs w:val="20"/>
        <w:lang w:val="en-US" w:eastAsia="en-US" w:bidi="ar-SA"/>
      </w:rPr>
    </w:lvl>
    <w:lvl w:ilvl="2">
      <w:start w:val="1"/>
      <w:numFmt w:val="decimal"/>
      <w:lvlText w:val="%1.%2.%3."/>
      <w:lvlJc w:val="left"/>
      <w:pPr>
        <w:ind w:left="637" w:hanging="491"/>
      </w:pPr>
      <w:rPr>
        <w:rFonts w:ascii="Cambria" w:eastAsia="Cambria" w:hAnsi="Cambria" w:cs="Cambria" w:hint="default"/>
        <w:b w:val="0"/>
        <w:bCs w:val="0"/>
        <w:i/>
        <w:iCs/>
        <w:spacing w:val="-1"/>
        <w:w w:val="97"/>
        <w:sz w:val="20"/>
        <w:szCs w:val="20"/>
        <w:lang w:val="en-US" w:eastAsia="en-US" w:bidi="ar-SA"/>
      </w:rPr>
    </w:lvl>
    <w:lvl w:ilvl="3">
      <w:start w:val="1"/>
      <w:numFmt w:val="bullet"/>
      <w:lvlText w:val="•"/>
      <w:lvlJc w:val="left"/>
      <w:pPr>
        <w:ind w:left="1858" w:hanging="491"/>
      </w:pPr>
      <w:rPr>
        <w:rFonts w:hint="default"/>
        <w:lang w:val="en-US" w:eastAsia="en-US" w:bidi="ar-SA"/>
      </w:rPr>
    </w:lvl>
    <w:lvl w:ilvl="4">
      <w:start w:val="1"/>
      <w:numFmt w:val="bullet"/>
      <w:lvlText w:val="•"/>
      <w:lvlJc w:val="left"/>
      <w:pPr>
        <w:ind w:left="3077" w:hanging="491"/>
      </w:pPr>
      <w:rPr>
        <w:rFonts w:hint="default"/>
        <w:lang w:val="en-US" w:eastAsia="en-US" w:bidi="ar-SA"/>
      </w:rPr>
    </w:lvl>
    <w:lvl w:ilvl="5">
      <w:start w:val="1"/>
      <w:numFmt w:val="bullet"/>
      <w:lvlText w:val="•"/>
      <w:lvlJc w:val="left"/>
      <w:pPr>
        <w:ind w:left="4296" w:hanging="491"/>
      </w:pPr>
      <w:rPr>
        <w:rFonts w:hint="default"/>
        <w:lang w:val="en-US" w:eastAsia="en-US" w:bidi="ar-SA"/>
      </w:rPr>
    </w:lvl>
    <w:lvl w:ilvl="6">
      <w:start w:val="1"/>
      <w:numFmt w:val="bullet"/>
      <w:lvlText w:val="•"/>
      <w:lvlJc w:val="left"/>
      <w:pPr>
        <w:ind w:left="5515" w:hanging="491"/>
      </w:pPr>
      <w:rPr>
        <w:rFonts w:hint="default"/>
        <w:lang w:val="en-US" w:eastAsia="en-US" w:bidi="ar-SA"/>
      </w:rPr>
    </w:lvl>
    <w:lvl w:ilvl="7">
      <w:start w:val="1"/>
      <w:numFmt w:val="bullet"/>
      <w:lvlText w:val="•"/>
      <w:lvlJc w:val="left"/>
      <w:pPr>
        <w:ind w:left="6734" w:hanging="491"/>
      </w:pPr>
      <w:rPr>
        <w:rFonts w:hint="default"/>
        <w:lang w:val="en-US" w:eastAsia="en-US" w:bidi="ar-SA"/>
      </w:rPr>
    </w:lvl>
    <w:lvl w:ilvl="8">
      <w:start w:val="1"/>
      <w:numFmt w:val="bullet"/>
      <w:lvlText w:val="•"/>
      <w:lvlJc w:val="left"/>
      <w:pPr>
        <w:ind w:left="7953" w:hanging="491"/>
      </w:pPr>
      <w:rPr>
        <w:rFonts w:hint="default"/>
        <w:lang w:val="en-US" w:eastAsia="en-US" w:bidi="ar-SA"/>
      </w:rPr>
    </w:lvl>
  </w:abstractNum>
  <w:abstractNum w:abstractNumId="6">
    <w:nsid w:val="00000007"/>
    <w:multiLevelType w:val="multilevel"/>
    <w:tmpl w:val="7152B40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
    <w:nsid w:val="00000008"/>
    <w:multiLevelType w:val="hybridMultilevel"/>
    <w:tmpl w:val="8CD8E2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E1A2C64E" w:tentative="1">
      <w:start w:val="1"/>
      <w:numFmt w:val="bullet"/>
      <w:lvlText w:val=""/>
      <w:lvlJc w:val="left"/>
      <w:pPr>
        <w:ind w:left="2160" w:hanging="360"/>
      </w:pPr>
      <w:rPr>
        <w:rFonts w:ascii="Wingdings" w:hAnsi="Wingdings" w:hint="default"/>
      </w:rPr>
    </w:lvl>
    <w:lvl w:ilvl="3" w:tplc="537628BE" w:tentative="1">
      <w:start w:val="1"/>
      <w:numFmt w:val="bullet"/>
      <w:lvlText w:val=""/>
      <w:lvlJc w:val="left"/>
      <w:pPr>
        <w:ind w:left="2880" w:hanging="360"/>
      </w:pPr>
      <w:rPr>
        <w:rFonts w:ascii="Symbol" w:hAnsi="Symbol" w:hint="default"/>
      </w:rPr>
    </w:lvl>
    <w:lvl w:ilvl="4" w:tplc="846ED88A" w:tentative="1">
      <w:start w:val="1"/>
      <w:numFmt w:val="bullet"/>
      <w:lvlText w:val="o"/>
      <w:lvlJc w:val="left"/>
      <w:pPr>
        <w:ind w:left="3600" w:hanging="360"/>
      </w:pPr>
      <w:rPr>
        <w:rFonts w:ascii="Courier New" w:hAnsi="Courier New" w:cs="Courier New" w:hint="default"/>
      </w:rPr>
    </w:lvl>
    <w:lvl w:ilvl="5" w:tplc="CF941C26" w:tentative="1">
      <w:start w:val="1"/>
      <w:numFmt w:val="bullet"/>
      <w:lvlText w:val=""/>
      <w:lvlJc w:val="left"/>
      <w:pPr>
        <w:ind w:left="4320" w:hanging="360"/>
      </w:pPr>
      <w:rPr>
        <w:rFonts w:ascii="Wingdings" w:hAnsi="Wingdings" w:hint="default"/>
      </w:rPr>
    </w:lvl>
    <w:lvl w:ilvl="6" w:tplc="3BCE95FA" w:tentative="1">
      <w:start w:val="1"/>
      <w:numFmt w:val="bullet"/>
      <w:lvlText w:val=""/>
      <w:lvlJc w:val="left"/>
      <w:pPr>
        <w:ind w:left="5040" w:hanging="360"/>
      </w:pPr>
      <w:rPr>
        <w:rFonts w:ascii="Symbol" w:hAnsi="Symbol" w:hint="default"/>
      </w:rPr>
    </w:lvl>
    <w:lvl w:ilvl="7" w:tplc="27FA25B2" w:tentative="1">
      <w:start w:val="1"/>
      <w:numFmt w:val="bullet"/>
      <w:lvlText w:val="o"/>
      <w:lvlJc w:val="left"/>
      <w:pPr>
        <w:ind w:left="5760" w:hanging="360"/>
      </w:pPr>
      <w:rPr>
        <w:rFonts w:ascii="Courier New" w:hAnsi="Courier New" w:cs="Courier New" w:hint="default"/>
      </w:rPr>
    </w:lvl>
    <w:lvl w:ilvl="8" w:tplc="88B861E8" w:tentative="1">
      <w:start w:val="1"/>
      <w:numFmt w:val="bullet"/>
      <w:lvlText w:val=""/>
      <w:lvlJc w:val="left"/>
      <w:pPr>
        <w:ind w:left="6480" w:hanging="360"/>
      </w:pPr>
      <w:rPr>
        <w:rFonts w:ascii="Wingdings" w:hAnsi="Wingdings" w:hint="default"/>
      </w:rPr>
    </w:lvl>
  </w:abstractNum>
  <w:abstractNum w:abstractNumId="8">
    <w:nsid w:val="00000009"/>
    <w:multiLevelType w:val="multilevel"/>
    <w:tmpl w:val="BA2A5D1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
    <w:nsid w:val="0000000A"/>
    <w:multiLevelType w:val="hybridMultilevel"/>
    <w:tmpl w:val="45368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33944A5"/>
    <w:multiLevelType w:val="hybridMultilevel"/>
    <w:tmpl w:val="7D408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1"/>
  </w:num>
  <w:num w:numId="5">
    <w:abstractNumId w:val="0"/>
  </w:num>
  <w:num w:numId="6">
    <w:abstractNumId w:val="10"/>
  </w:num>
  <w:num w:numId="7">
    <w:abstractNumId w:val="3"/>
  </w:num>
  <w:num w:numId="8">
    <w:abstractNumId w:val="5"/>
  </w:num>
  <w:num w:numId="9">
    <w:abstractNumId w:val="8"/>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3E0"/>
    <w:rsid w:val="00111501"/>
    <w:rsid w:val="001823E0"/>
    <w:rsid w:val="0032601F"/>
    <w:rsid w:val="0032649B"/>
    <w:rsid w:val="00343308"/>
    <w:rsid w:val="00344623"/>
    <w:rsid w:val="00362FA4"/>
    <w:rsid w:val="00390E30"/>
    <w:rsid w:val="003A20EB"/>
    <w:rsid w:val="00756027"/>
    <w:rsid w:val="008000AA"/>
    <w:rsid w:val="008C7475"/>
    <w:rsid w:val="008E7121"/>
    <w:rsid w:val="009C58BB"/>
    <w:rsid w:val="009E1584"/>
    <w:rsid w:val="009F7283"/>
    <w:rsid w:val="00A71428"/>
    <w:rsid w:val="00AF473B"/>
    <w:rsid w:val="00CF0057"/>
    <w:rsid w:val="00DC0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rl">
    <w:name w:val="url"/>
    <w:basedOn w:val="DefaultParagraphFont"/>
  </w:style>
  <w:style w:type="character" w:customStyle="1" w:styleId="UnresolvedMention1">
    <w:name w:val="Unresolved Mention1"/>
    <w:basedOn w:val="DefaultParagraphFont"/>
    <w:uiPriority w:val="99"/>
    <w:rPr>
      <w:color w:val="605E5C"/>
      <w:shd w:val="clear" w:color="auto" w:fill="E1DFDD"/>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overflow-hidden">
    <w:name w:val="overflow-hidden"/>
    <w:basedOn w:val="DefaultParagraphFont"/>
  </w:style>
  <w:style w:type="character" w:customStyle="1" w:styleId="UnresolvedMention2">
    <w:name w:val="Unresolved Mention2"/>
    <w:basedOn w:val="DefaultParagraphFont"/>
    <w:uiPriority w:val="99"/>
    <w:rPr>
      <w:color w:val="605E5C"/>
      <w:shd w:val="clear" w:color="auto" w:fill="E1DFDD"/>
    </w:rPr>
  </w:style>
  <w:style w:type="character" w:customStyle="1" w:styleId="mord">
    <w:name w:val="mord"/>
    <w:basedOn w:val="DefaultParagraphFont"/>
  </w:style>
  <w:style w:type="character" w:customStyle="1" w:styleId="vlist-s">
    <w:name w:val="vlist-s"/>
    <w:basedOn w:val="DefaultParagraphFont"/>
  </w:style>
  <w:style w:type="character" w:customStyle="1" w:styleId="UnresolvedMention">
    <w:name w:val="Unresolved Mention"/>
    <w:basedOn w:val="DefaultParagraphFont"/>
    <w:uiPriority w:val="99"/>
    <w:rPr>
      <w:color w:val="605E5C"/>
      <w:shd w:val="clear" w:color="auto" w:fill="E1DFDD"/>
    </w:rPr>
  </w:style>
  <w:style w:type="character" w:styleId="FollowedHyperlink">
    <w:name w:val="FollowedHyperlink"/>
    <w:basedOn w:val="DefaultParagraphFont"/>
    <w:uiPriority w:val="99"/>
    <w:rPr>
      <w:color w:val="954F7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563C1"/>
      <w:u w:val="single"/>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rl">
    <w:name w:val="url"/>
    <w:basedOn w:val="DefaultParagraphFont"/>
  </w:style>
  <w:style w:type="character" w:customStyle="1" w:styleId="UnresolvedMention1">
    <w:name w:val="Unresolved Mention1"/>
    <w:basedOn w:val="DefaultParagraphFont"/>
    <w:uiPriority w:val="99"/>
    <w:rPr>
      <w:color w:val="605E5C"/>
      <w:shd w:val="clear" w:color="auto" w:fill="E1DFDD"/>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overflow-hidden">
    <w:name w:val="overflow-hidden"/>
    <w:basedOn w:val="DefaultParagraphFont"/>
  </w:style>
  <w:style w:type="character" w:customStyle="1" w:styleId="UnresolvedMention2">
    <w:name w:val="Unresolved Mention2"/>
    <w:basedOn w:val="DefaultParagraphFont"/>
    <w:uiPriority w:val="99"/>
    <w:rPr>
      <w:color w:val="605E5C"/>
      <w:shd w:val="clear" w:color="auto" w:fill="E1DFDD"/>
    </w:rPr>
  </w:style>
  <w:style w:type="character" w:customStyle="1" w:styleId="mord">
    <w:name w:val="mord"/>
    <w:basedOn w:val="DefaultParagraphFont"/>
  </w:style>
  <w:style w:type="character" w:customStyle="1" w:styleId="vlist-s">
    <w:name w:val="vlist-s"/>
    <w:basedOn w:val="DefaultParagraphFont"/>
  </w:style>
  <w:style w:type="character" w:customStyle="1" w:styleId="UnresolvedMention">
    <w:name w:val="Unresolved Mention"/>
    <w:basedOn w:val="DefaultParagraphFont"/>
    <w:uiPriority w:val="99"/>
    <w:rPr>
      <w:color w:val="605E5C"/>
      <w:shd w:val="clear" w:color="auto" w:fill="E1DFDD"/>
    </w:rPr>
  </w:style>
  <w:style w:type="character" w:styleId="FollowedHyperlink">
    <w:name w:val="FollowedHyperlink"/>
    <w:basedOn w:val="DefaultParagraphFont"/>
    <w:uiPriority w:val="9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doi.org/10.1080/09718524.2019.1695307" TargetMode="External"/><Relationship Id="rId18" Type="http://schemas.openxmlformats.org/officeDocument/2006/relationships/hyperlink" Target="https://doi.org/10.4060/ca9004en" TargetMode="External"/><Relationship Id="rId26" Type="http://schemas.openxmlformats.org/officeDocument/2006/relationships/hyperlink" Target="https://doi.org/10.9734/ajee/2023/v20i3441" TargetMode="External"/><Relationship Id="rId3" Type="http://schemas.microsoft.com/office/2007/relationships/stylesWithEffects" Target="stylesWithEffects.xml"/><Relationship Id="rId21" Type="http://schemas.openxmlformats.org/officeDocument/2006/relationships/hyperlink" Target="https://doi.org/10.36074/sfalrpise-monograph.2022" TargetMode="External"/><Relationship Id="rId7" Type="http://schemas.openxmlformats.org/officeDocument/2006/relationships/endnotes" Target="endnotes.xml"/><Relationship Id="rId12" Type="http://schemas.openxmlformats.org/officeDocument/2006/relationships/hyperlink" Target="https://doi.org/10.5897/jdae2016.0727" TargetMode="External"/><Relationship Id="rId17" Type="http://schemas.openxmlformats.org/officeDocument/2006/relationships/hyperlink" Target="https://doi.org/10.54536/ajase.v3i1.2616" TargetMode="External"/><Relationship Id="rId25" Type="http://schemas.openxmlformats.org/officeDocument/2006/relationships/hyperlink" Target="https://doi.org/10.55248/gengpi.2022.3.2.13"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5089/9798400263507.007" TargetMode="External"/><Relationship Id="rId20" Type="http://schemas.openxmlformats.org/officeDocument/2006/relationships/hyperlink" Target="https://doi.org/10.1080/09670262.2017.135708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1016/j.wds.2022.100012" TargetMode="External"/><Relationship Id="rId24" Type="http://schemas.openxmlformats.org/officeDocument/2006/relationships/hyperlink" Target="https://doi.org/10.51386/25815946/ijsms-v5i2p11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093/esr/jcac061" TargetMode="External"/><Relationship Id="rId23" Type="http://schemas.openxmlformats.org/officeDocument/2006/relationships/hyperlink" Target="https://doi.org/10.1080/10454438.2022.2128963" TargetMode="External"/><Relationship Id="rId28" Type="http://schemas.openxmlformats.org/officeDocument/2006/relationships/header" Target="header2.xml"/><Relationship Id="rId10" Type="http://schemas.openxmlformats.org/officeDocument/2006/relationships/hyperlink" Target="https://doi.org/10.20944/preprints202403.1261.v1" TargetMode="External"/><Relationship Id="rId19" Type="http://schemas.openxmlformats.org/officeDocument/2006/relationships/hyperlink" Target="http://www.wiego.org"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5547/ast.2023.01.010" TargetMode="External"/><Relationship Id="rId14" Type="http://schemas.openxmlformats.org/officeDocument/2006/relationships/hyperlink" Target="https://doi.org/10.1007/s13280-013-0451-1" TargetMode="External"/><Relationship Id="rId22" Type="http://schemas.openxmlformats.org/officeDocument/2006/relationships/hyperlink" Target="https://doi.org/10.1088/1755-1315/1230/1/012022"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23</Pages>
  <Words>8118</Words>
  <Characters>46275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184</cp:revision>
  <dcterms:created xsi:type="dcterms:W3CDTF">2025-01-02T10:12:00Z</dcterms:created>
  <dcterms:modified xsi:type="dcterms:W3CDTF">2025-01-02T15:20:00Z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70b5a83a-18b9-41e7-8620-bd1bd24e156a</vt:lpwstr>
  </property>
  <property fmtid="{D5CDD505-2E9C-101B-9397-08002B2CF9AE}" pid="3" name="ICV">
    <vt:lpwstr>ddfe62d8837f41449f6c5dd61124f7c7</vt:lpwstr>
  </property>
</Properties>
</file>