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C7884" w14:textId="77777777" w:rsidR="00AB6177" w:rsidRDefault="00AB6177" w:rsidP="000D27B9">
      <w:pPr>
        <w:pStyle w:val="NormalWeb"/>
        <w:spacing w:line="360" w:lineRule="auto"/>
        <w:jc w:val="center"/>
        <w:rPr>
          <w:b/>
          <w:sz w:val="32"/>
        </w:rPr>
      </w:pPr>
      <w:r w:rsidRPr="000D27B9">
        <w:rPr>
          <w:b/>
          <w:sz w:val="32"/>
        </w:rPr>
        <w:t>Assessment of Woody Species Composition, Structure, Diversity, and Regeneration Status in the Gole Community Managed Forest</w:t>
      </w:r>
    </w:p>
    <w:p w14:paraId="5A7FA71D" w14:textId="77777777" w:rsidR="009F21B2" w:rsidRPr="000D27B9" w:rsidRDefault="009F21B2" w:rsidP="000D27B9">
      <w:pPr>
        <w:pStyle w:val="NormalWeb"/>
        <w:spacing w:line="360" w:lineRule="auto"/>
        <w:jc w:val="center"/>
        <w:rPr>
          <w:b/>
          <w:sz w:val="32"/>
        </w:rPr>
      </w:pPr>
    </w:p>
    <w:p w14:paraId="79339D64" w14:textId="77777777" w:rsidR="0035255A" w:rsidRDefault="0035255A" w:rsidP="000D27B9">
      <w:pPr>
        <w:pStyle w:val="Heading3"/>
        <w:spacing w:line="360" w:lineRule="auto"/>
        <w:jc w:val="both"/>
        <w:rPr>
          <w:sz w:val="24"/>
          <w:szCs w:val="24"/>
        </w:rPr>
      </w:pPr>
    </w:p>
    <w:p w14:paraId="1B482972" w14:textId="1099D957" w:rsidR="00F975E0" w:rsidRPr="00150B9E" w:rsidRDefault="007F66D2" w:rsidP="000D27B9">
      <w:pPr>
        <w:pStyle w:val="Heading3"/>
        <w:spacing w:line="360" w:lineRule="auto"/>
        <w:jc w:val="both"/>
        <w:rPr>
          <w:sz w:val="24"/>
          <w:szCs w:val="24"/>
        </w:rPr>
      </w:pPr>
      <w:r w:rsidRPr="00150B9E">
        <w:rPr>
          <w:sz w:val="24"/>
          <w:szCs w:val="24"/>
        </w:rPr>
        <w:t>ABSTRACT</w:t>
      </w:r>
    </w:p>
    <w:p w14:paraId="3A6AAD84" w14:textId="77777777" w:rsidR="00AB6177" w:rsidRPr="00150B9E" w:rsidRDefault="00F975E0" w:rsidP="000D27B9">
      <w:pPr>
        <w:pStyle w:val="NormalWeb"/>
        <w:spacing w:line="360" w:lineRule="auto"/>
        <w:jc w:val="both"/>
      </w:pPr>
      <w:r w:rsidRPr="00150B9E">
        <w:t>Forests are critical for maintaining biodiversity, carbon sequestration, and supporting local livelihoods. The Gole Community Managed Forest in the Kamba district of the Gamo Zone, southwest Ethiopia, plays a crucial role for both ecological health and the community it sustains. However, there is a significant knowledge gap regarding the floristic composition, species diversity, and structural characteristics of this forest, necessitating comprehensive study.</w:t>
      </w:r>
      <w:r w:rsidR="006850E1" w:rsidRPr="00150B9E">
        <w:t xml:space="preserve"> </w:t>
      </w:r>
      <w:commentRangeStart w:id="0"/>
      <w:r w:rsidRPr="00150B9E">
        <w:t>These researches</w:t>
      </w:r>
      <w:commentRangeEnd w:id="0"/>
      <w:r w:rsidR="00EA0153">
        <w:rPr>
          <w:rStyle w:val="CommentReference"/>
          <w:rFonts w:asciiTheme="minorHAnsi" w:eastAsiaTheme="minorHAnsi" w:hAnsiTheme="minorHAnsi" w:cstheme="minorBidi"/>
        </w:rPr>
        <w:commentReference w:id="0"/>
      </w:r>
      <w:r w:rsidRPr="00150B9E">
        <w:t xml:space="preserve"> aimed to inventory and classify woody species within the Gole Community Managed Forest, assess their structural attributes, analyze species diversity, and evaluate the regeneration status of key species to inform sustainable management practices.</w:t>
      </w:r>
      <w:r w:rsidR="006850E1" w:rsidRPr="00150B9E">
        <w:t xml:space="preserve"> </w:t>
      </w:r>
      <w:r w:rsidRPr="00150B9E">
        <w:t>A systematic grid sampling method was utilized within a nested plot design across 765 hectares of the forest. Data on diameter at breast height (DBH), tree height, frequency, and density were collected for all woody species present.</w:t>
      </w:r>
      <w:r w:rsidR="006850E1" w:rsidRPr="00150B9E">
        <w:t xml:space="preserve"> </w:t>
      </w:r>
      <w:r w:rsidRPr="00150B9E">
        <w:t>A total of 47 plots were established to document species presence and measurements. Relevant ecological indices such as the Shannon-Wiener diversity index and Importance Value Index (IVI) were employed to analyze the data, while statistical tools including SPSS version 25.0 were used for quantitative evaluations.</w:t>
      </w:r>
      <w:r w:rsidR="006850E1" w:rsidRPr="00150B9E">
        <w:t xml:space="preserve"> </w:t>
      </w:r>
      <w:r w:rsidRPr="00150B9E">
        <w:t xml:space="preserve">The study identified 52 woody species across 46 genera and 39 families, with </w:t>
      </w:r>
      <w:proofErr w:type="spellStart"/>
      <w:r w:rsidRPr="00150B9E">
        <w:rPr>
          <w:i/>
        </w:rPr>
        <w:t>Euphorbiaceae</w:t>
      </w:r>
      <w:proofErr w:type="spellEnd"/>
      <w:r w:rsidRPr="00150B9E">
        <w:t xml:space="preserve"> and </w:t>
      </w:r>
      <w:proofErr w:type="spellStart"/>
      <w:r w:rsidRPr="00150B9E">
        <w:rPr>
          <w:i/>
        </w:rPr>
        <w:t>Celasteraceae</w:t>
      </w:r>
      <w:proofErr w:type="spellEnd"/>
      <w:r w:rsidRPr="00150B9E">
        <w:t xml:space="preserve"> being the most dominant families. A total basal area of 168.15 m² ha⁻¹ was recorded. The regeneration analysis revealed a promising status with a high density of seedlings (17,622 ha⁻¹) and saplings (4,127 ha⁻¹) compared to mature trees (385 ha⁻¹), indicative of robust regeneration potential.</w:t>
      </w:r>
      <w:r w:rsidR="006850E1" w:rsidRPr="00150B9E">
        <w:t xml:space="preserve"> </w:t>
      </w:r>
      <w:r w:rsidRPr="00150B9E">
        <w:t xml:space="preserve">The Gole Community Managed Forest exhibits significant floral diversity and regeneration capacity; however, it faces threats from deforestation that necessitate urgent conservation efforts. The findings underscore the importance of implementing effective and community-oriented management strategies to ensure the sustainable utilization and preservation of forest resources. </w:t>
      </w:r>
      <w:r w:rsidRPr="00150B9E">
        <w:lastRenderedPageBreak/>
        <w:t>Future research is recommended to further explore the socio-economic interactions within the context of forest management to align community needs with conservation goals.</w:t>
      </w:r>
    </w:p>
    <w:p w14:paraId="298F7626" w14:textId="77777777" w:rsidR="00F975E0" w:rsidRPr="00150B9E" w:rsidRDefault="00F975E0" w:rsidP="000D27B9">
      <w:pPr>
        <w:spacing w:before="100" w:beforeAutospacing="1" w:after="100" w:afterAutospacing="1" w:line="360" w:lineRule="auto"/>
        <w:rPr>
          <w:rFonts w:ascii="Times New Roman" w:eastAsia="Times New Roman" w:hAnsi="Times New Roman" w:cs="Times New Roman"/>
          <w:sz w:val="24"/>
          <w:szCs w:val="24"/>
        </w:rPr>
      </w:pPr>
      <w:r w:rsidRPr="00150B9E">
        <w:rPr>
          <w:rFonts w:ascii="Times New Roman" w:hAnsi="Times New Roman" w:cs="Times New Roman"/>
          <w:b/>
          <w:sz w:val="24"/>
          <w:szCs w:val="24"/>
        </w:rPr>
        <w:t>Keywords</w:t>
      </w:r>
      <w:r w:rsidRPr="00150B9E">
        <w:rPr>
          <w:rFonts w:ascii="Times New Roman" w:hAnsi="Times New Roman" w:cs="Times New Roman"/>
          <w:sz w:val="24"/>
          <w:szCs w:val="24"/>
        </w:rPr>
        <w:t xml:space="preserve">: </w:t>
      </w:r>
      <w:r w:rsidRPr="00150B9E">
        <w:rPr>
          <w:rFonts w:ascii="Times New Roman" w:eastAsia="Times New Roman" w:hAnsi="Times New Roman" w:cs="Times New Roman"/>
          <w:sz w:val="24"/>
          <w:szCs w:val="24"/>
        </w:rPr>
        <w:t>Basal area; biodiversity conservation, Importance Value Index; Plant families</w:t>
      </w:r>
    </w:p>
    <w:p w14:paraId="7FB4576F" w14:textId="77777777" w:rsidR="00153EE8" w:rsidRPr="00150B9E" w:rsidRDefault="007F66D2" w:rsidP="000D27B9">
      <w:pPr>
        <w:pStyle w:val="ListParagraph"/>
        <w:numPr>
          <w:ilvl w:val="0"/>
          <w:numId w:val="30"/>
        </w:numPr>
        <w:spacing w:before="100" w:beforeAutospacing="1" w:after="100" w:afterAutospacing="1" w:line="360" w:lineRule="auto"/>
        <w:ind w:left="360"/>
        <w:outlineLvl w:val="2"/>
        <w:rPr>
          <w:rFonts w:ascii="Times New Roman" w:eastAsia="Times New Roman" w:hAnsi="Times New Roman" w:cs="Times New Roman"/>
          <w:b/>
          <w:bCs/>
          <w:sz w:val="24"/>
          <w:szCs w:val="24"/>
        </w:rPr>
      </w:pPr>
      <w:r w:rsidRPr="00150B9E">
        <w:rPr>
          <w:rFonts w:ascii="Times New Roman" w:eastAsia="Times New Roman" w:hAnsi="Times New Roman" w:cs="Times New Roman"/>
          <w:b/>
          <w:bCs/>
          <w:sz w:val="24"/>
          <w:szCs w:val="24"/>
        </w:rPr>
        <w:t>INTRODUCTION</w:t>
      </w:r>
    </w:p>
    <w:p w14:paraId="448B300A"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Forests are vital ecosystems that contribute significantly to biodiversity, carbon sequestration, and the livelihoods of communities that depend on them. The Gole Community Managed Forest, located in [Insert Location], is a critical habitat that supports a diverse array of woody species and provides essential resources for the local population. Community-managed forests have gained recognition for their potential in sustainable management, as they integrate local knowledge and practices with conservation efforts </w:t>
      </w:r>
      <w:r w:rsidR="002B1D68">
        <w:rPr>
          <w:rFonts w:ascii="Times New Roman" w:eastAsia="Times New Roman" w:hAnsi="Times New Roman" w:cs="Times New Roman"/>
          <w:sz w:val="24"/>
          <w:szCs w:val="24"/>
        </w:rPr>
        <w:t>[1, 2</w:t>
      </w:r>
      <w:r w:rsidR="00C76E15">
        <w:rPr>
          <w:rFonts w:ascii="Times New Roman" w:eastAsia="Times New Roman" w:hAnsi="Times New Roman" w:cs="Times New Roman"/>
          <w:sz w:val="24"/>
          <w:szCs w:val="24"/>
        </w:rPr>
        <w:t xml:space="preserve">]. </w:t>
      </w:r>
      <w:r w:rsidRPr="00150B9E">
        <w:rPr>
          <w:rFonts w:ascii="Times New Roman" w:eastAsia="Times New Roman" w:hAnsi="Times New Roman" w:cs="Times New Roman"/>
          <w:sz w:val="24"/>
          <w:szCs w:val="24"/>
        </w:rPr>
        <w:t>Understanding the existing woody species in such forests is crucial for developing effective management strategies that enhance ecological health while meeting socio-economic needs.</w:t>
      </w:r>
    </w:p>
    <w:p w14:paraId="2ABECD12"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Despite the importance of the Gole Community Managed Forest, there exists a significant gap in the understanding of its flora, particularly woody species. Previous studies in similar contexts have often focused on either specific species or localized areas, leading to incomplete inventories and assessments of species diversity, composition, and structure</w:t>
      </w:r>
      <w:r w:rsidR="00C76E15">
        <w:rPr>
          <w:rFonts w:ascii="Times New Roman" w:eastAsia="Times New Roman" w:hAnsi="Times New Roman" w:cs="Times New Roman"/>
          <w:sz w:val="24"/>
          <w:szCs w:val="24"/>
        </w:rPr>
        <w:t xml:space="preserve"> [3, 4 and 5]. </w:t>
      </w:r>
      <w:r w:rsidRPr="00150B9E">
        <w:rPr>
          <w:rFonts w:ascii="Times New Roman" w:eastAsia="Times New Roman" w:hAnsi="Times New Roman" w:cs="Times New Roman"/>
          <w:sz w:val="24"/>
          <w:szCs w:val="24"/>
        </w:rPr>
        <w:t>Additionally, factors influencing the ecological and economic value of these species have not been systematically categorized, which limits the effectiveness of conservation and management strategies.</w:t>
      </w:r>
    </w:p>
    <w:p w14:paraId="74CDF26B"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Research has highlighted the importance of understanding the structural characteristics of forests, including metrics such as tree height, diameter at breast height (DBH), and canopy cover, as these factors are indicative of overall forest health and biodiversity</w:t>
      </w:r>
      <w:r w:rsidR="00C76E15">
        <w:rPr>
          <w:rFonts w:ascii="Times New Roman" w:eastAsia="Times New Roman" w:hAnsi="Times New Roman" w:cs="Times New Roman"/>
          <w:sz w:val="24"/>
          <w:szCs w:val="24"/>
        </w:rPr>
        <w:t xml:space="preserve"> [6, 7]. </w:t>
      </w:r>
      <w:r w:rsidRPr="00150B9E">
        <w:rPr>
          <w:rFonts w:ascii="Times New Roman" w:eastAsia="Times New Roman" w:hAnsi="Times New Roman" w:cs="Times New Roman"/>
          <w:sz w:val="24"/>
          <w:szCs w:val="24"/>
        </w:rPr>
        <w:t xml:space="preserve">Furthermore, the vertical stratification of woody species is another important aspect that has received limited attention. Understanding stratification and its relationship with environmental factors can provide insights into habitat complexity and species interactions </w:t>
      </w:r>
      <w:r w:rsidR="00C76E15">
        <w:rPr>
          <w:rFonts w:ascii="Times New Roman" w:eastAsia="Times New Roman" w:hAnsi="Times New Roman" w:cs="Times New Roman"/>
          <w:sz w:val="24"/>
          <w:szCs w:val="24"/>
        </w:rPr>
        <w:t>[8, 9].</w:t>
      </w:r>
    </w:p>
    <w:p w14:paraId="1BD9ECA2"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Regeneration status is also crucial for evaluating the sustainability of forest ecosystems. Key metrics such as seedling density, sapling recruitment, and recruitment patterns are vital in </w:t>
      </w:r>
      <w:r w:rsidRPr="00150B9E">
        <w:rPr>
          <w:rFonts w:ascii="Times New Roman" w:eastAsia="Times New Roman" w:hAnsi="Times New Roman" w:cs="Times New Roman"/>
          <w:sz w:val="24"/>
          <w:szCs w:val="24"/>
        </w:rPr>
        <w:lastRenderedPageBreak/>
        <w:t>assessing the future of woody species</w:t>
      </w:r>
      <w:r w:rsidR="00C76E15">
        <w:rPr>
          <w:rFonts w:ascii="Times New Roman" w:eastAsia="Times New Roman" w:hAnsi="Times New Roman" w:cs="Times New Roman"/>
          <w:sz w:val="24"/>
          <w:szCs w:val="24"/>
        </w:rPr>
        <w:t xml:space="preserve"> [10, 11]. </w:t>
      </w:r>
      <w:r w:rsidRPr="00150B9E">
        <w:rPr>
          <w:rFonts w:ascii="Times New Roman" w:eastAsia="Times New Roman" w:hAnsi="Times New Roman" w:cs="Times New Roman"/>
          <w:sz w:val="24"/>
          <w:szCs w:val="24"/>
        </w:rPr>
        <w:t>However, there remains a dearth of comprehensive data specific to the Gole Community Managed Forest regarding these aspects.</w:t>
      </w:r>
    </w:p>
    <w:p w14:paraId="1257BCC6"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This study aims to address these gaps by inventorying and classifying the existing woody species in the Gole Community Managed Forest, analyzing species composition, structural characteristics, and assessing species diversity and regeneration status. By systematically categorizing species based on their ecological, economic, and conservation values, this research endeavors to contribute to the sustainable management and conservation of this vital ecosystem.</w:t>
      </w:r>
    </w:p>
    <w:p w14:paraId="4AF1BB11" w14:textId="77777777" w:rsidR="008D5E6F" w:rsidRPr="00150B9E" w:rsidRDefault="008D5E6F"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Assessing the floristic composition, species diversity, and structural characteristics of forests is essential for comprehending species richness, which informs effective forest management practices and deepens our understanding of forest ecology and ecosystem functions</w:t>
      </w:r>
      <w:r w:rsidR="00C76E15">
        <w:rPr>
          <w:rFonts w:ascii="Times New Roman" w:eastAsia="Times New Roman" w:hAnsi="Times New Roman" w:cs="Times New Roman"/>
          <w:sz w:val="24"/>
          <w:szCs w:val="24"/>
        </w:rPr>
        <w:t xml:space="preserve"> [12, 13]. </w:t>
      </w:r>
      <w:r w:rsidRPr="00150B9E">
        <w:rPr>
          <w:rFonts w:ascii="Times New Roman" w:eastAsia="Times New Roman" w:hAnsi="Times New Roman" w:cs="Times New Roman"/>
          <w:sz w:val="24"/>
          <w:szCs w:val="24"/>
        </w:rPr>
        <w:t xml:space="preserve">Gaining insights </w:t>
      </w:r>
      <w:r w:rsidRPr="00061FC8">
        <w:rPr>
          <w:rFonts w:ascii="Times New Roman" w:eastAsia="Times New Roman" w:hAnsi="Times New Roman" w:cs="Times New Roman"/>
          <w:sz w:val="24"/>
          <w:szCs w:val="24"/>
        </w:rPr>
        <w:t xml:space="preserve">into the floristic composition and structural traits of forests is crucial for identifying ecologically and economically significant plant species, as well as for protecting threatened and valuable flora </w:t>
      </w:r>
      <w:r w:rsidR="00C76E15" w:rsidRPr="00061FC8">
        <w:rPr>
          <w:rFonts w:ascii="Times New Roman" w:eastAsia="Times New Roman" w:hAnsi="Times New Roman" w:cs="Times New Roman"/>
          <w:sz w:val="24"/>
          <w:szCs w:val="24"/>
        </w:rPr>
        <w:t xml:space="preserve">[14]. </w:t>
      </w:r>
      <w:r w:rsidRPr="00061FC8">
        <w:rPr>
          <w:rFonts w:ascii="Times New Roman" w:eastAsia="Times New Roman" w:hAnsi="Times New Roman" w:cs="Times New Roman"/>
          <w:sz w:val="24"/>
          <w:szCs w:val="24"/>
        </w:rPr>
        <w:t xml:space="preserve">Furthermore, understanding regeneration patterns is a key to addressing critical questions related to forest management </w:t>
      </w:r>
      <w:r w:rsidR="00C76E15" w:rsidRPr="00061FC8">
        <w:rPr>
          <w:rFonts w:ascii="Times New Roman" w:eastAsia="Times New Roman" w:hAnsi="Times New Roman" w:cs="Times New Roman"/>
          <w:sz w:val="24"/>
          <w:szCs w:val="24"/>
        </w:rPr>
        <w:t>[15]</w:t>
      </w:r>
      <w:r w:rsidRPr="00061FC8">
        <w:rPr>
          <w:rFonts w:ascii="Times New Roman" w:eastAsia="Times New Roman" w:hAnsi="Times New Roman" w:cs="Times New Roman"/>
          <w:sz w:val="24"/>
          <w:szCs w:val="24"/>
        </w:rPr>
        <w:t>. There is a notable lack of research data regarding woody species, classifications based on ecological</w:t>
      </w:r>
      <w:r w:rsidRPr="00150B9E">
        <w:rPr>
          <w:rFonts w:ascii="Times New Roman" w:eastAsia="Times New Roman" w:hAnsi="Times New Roman" w:cs="Times New Roman"/>
          <w:sz w:val="24"/>
          <w:szCs w:val="24"/>
        </w:rPr>
        <w:t>, economic, and conservation value, species composition, overall forest structure, and the regeneration status of key woody species in the Gole Community Managed Forest. Additionally, the interplay between ecological and socio-economic factors in forest management and the vertical stratification of woody species, as well as the influence of various environmental factors, remains underexplored.</w:t>
      </w:r>
    </w:p>
    <w:p w14:paraId="36A24B6D" w14:textId="77777777" w:rsidR="008D5E6F" w:rsidRPr="00150B9E" w:rsidRDefault="008D5E6F"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Despite the significance of these assessments, there are few studies concentrating specifically on the flora of the Gole Community Managed Forest. Moreover, existing literature often neglects the interaction between ecological and socio-economic factors in forest management, creating a gap in understanding how community needs can align with conservation goals </w:t>
      </w:r>
      <w:r w:rsidR="00C76E15">
        <w:rPr>
          <w:rFonts w:ascii="Times New Roman" w:eastAsia="Times New Roman" w:hAnsi="Times New Roman" w:cs="Times New Roman"/>
          <w:sz w:val="24"/>
          <w:szCs w:val="24"/>
        </w:rPr>
        <w:t xml:space="preserve">[16]. </w:t>
      </w:r>
      <w:r w:rsidRPr="00150B9E">
        <w:rPr>
          <w:rFonts w:ascii="Times New Roman" w:eastAsia="Times New Roman" w:hAnsi="Times New Roman" w:cs="Times New Roman"/>
          <w:sz w:val="24"/>
          <w:szCs w:val="24"/>
        </w:rPr>
        <w:t>By addressing these identified gaps, the proposed research seeks to provide valuable insights for the sustainable management and conservation of the Gole Community Managed Forest. The primary aim of this study is to evaluate the composition of woody species, their structural attributes, diversity, and regeneration status within the Gole Community Managed Forest.</w:t>
      </w:r>
    </w:p>
    <w:p w14:paraId="0B345CAF" w14:textId="77777777" w:rsidR="007F66D2" w:rsidRPr="007F66D2" w:rsidRDefault="007F66D2" w:rsidP="007F66D2">
      <w:pPr>
        <w:pStyle w:val="ListParagraph"/>
        <w:numPr>
          <w:ilvl w:val="0"/>
          <w:numId w:val="30"/>
        </w:numPr>
        <w:tabs>
          <w:tab w:val="left" w:pos="720"/>
        </w:tabs>
        <w:spacing w:before="100" w:beforeAutospacing="1" w:after="100" w:afterAutospacing="1" w:line="360" w:lineRule="auto"/>
        <w:ind w:left="360"/>
        <w:jc w:val="both"/>
        <w:rPr>
          <w:rFonts w:ascii="Times New Roman" w:hAnsi="Times New Roman" w:cs="Times New Roman"/>
          <w:b/>
          <w:sz w:val="24"/>
          <w:szCs w:val="24"/>
        </w:rPr>
      </w:pPr>
      <w:r w:rsidRPr="007F66D2">
        <w:rPr>
          <w:rFonts w:ascii="Times New Roman" w:hAnsi="Times New Roman" w:cs="Times New Roman"/>
          <w:b/>
          <w:sz w:val="24"/>
          <w:szCs w:val="24"/>
        </w:rPr>
        <w:t>MATERIALS AND METHODS</w:t>
      </w:r>
    </w:p>
    <w:p w14:paraId="72D44F02" w14:textId="77777777" w:rsidR="007F66D2" w:rsidRPr="007F66D2" w:rsidRDefault="007F66D2" w:rsidP="007F66D2">
      <w:pPr>
        <w:pStyle w:val="ListParagraph"/>
        <w:numPr>
          <w:ilvl w:val="1"/>
          <w:numId w:val="30"/>
        </w:numPr>
        <w:tabs>
          <w:tab w:val="left" w:pos="720"/>
        </w:tabs>
        <w:spacing w:before="100" w:beforeAutospacing="1" w:after="100" w:afterAutospacing="1" w:line="360" w:lineRule="auto"/>
        <w:ind w:left="360"/>
        <w:jc w:val="both"/>
        <w:rPr>
          <w:rFonts w:ascii="Times New Roman" w:hAnsi="Times New Roman" w:cs="Times New Roman"/>
          <w:b/>
          <w:sz w:val="24"/>
          <w:szCs w:val="24"/>
        </w:rPr>
      </w:pPr>
      <w:r w:rsidRPr="007F66D2">
        <w:rPr>
          <w:rFonts w:ascii="Times New Roman" w:hAnsi="Times New Roman" w:cs="Times New Roman"/>
          <w:b/>
          <w:sz w:val="24"/>
          <w:szCs w:val="24"/>
        </w:rPr>
        <w:lastRenderedPageBreak/>
        <w:t>Description of the Study Area</w:t>
      </w:r>
      <w:r>
        <w:rPr>
          <w:rFonts w:ascii="Times New Roman" w:hAnsi="Times New Roman" w:cs="Times New Roman"/>
          <w:b/>
          <w:sz w:val="24"/>
          <w:szCs w:val="24"/>
        </w:rPr>
        <w:t xml:space="preserve"> </w:t>
      </w:r>
    </w:p>
    <w:p w14:paraId="55E7EAB9" w14:textId="77777777" w:rsidR="003B579B" w:rsidRPr="00150B9E" w:rsidRDefault="003B579B" w:rsidP="007F66D2">
      <w:pPr>
        <w:pStyle w:val="NormalWeb"/>
        <w:spacing w:line="360" w:lineRule="auto"/>
        <w:jc w:val="both"/>
      </w:pPr>
      <w:r w:rsidRPr="00150B9E">
        <w:t>The research was conducted in the Gole Community Managed Forest, situated in the Kamba district of the Gamo Zone in southwest Ethiopia. Geographically, the forest spans from 6°05'43'' N latitude to 37°12'42'' E longitude, with an altitudinal range extendin</w:t>
      </w:r>
      <w:r w:rsidR="007F66D2">
        <w:t xml:space="preserve">g from 1,837 to 2,723m.a.s.l. </w:t>
      </w:r>
      <w:r w:rsidRPr="00150B9E">
        <w:t xml:space="preserve">and encompasses a total area of 765 hectares (Figure 1). The study site is located approximately 597 kilometers southwest of Addis Ababa, the capital city of Ethiopia. </w:t>
      </w:r>
    </w:p>
    <w:p w14:paraId="3D24A3BC" w14:textId="77777777" w:rsidR="003B579B" w:rsidRPr="00150B9E" w:rsidRDefault="003B579B" w:rsidP="007F66D2">
      <w:pPr>
        <w:pStyle w:val="NormalWeb"/>
        <w:spacing w:line="360" w:lineRule="auto"/>
        <w:jc w:val="both"/>
      </w:pPr>
      <w:r w:rsidRPr="00150B9E">
        <w:t xml:space="preserve">The region experiences a bimodal rainfall pattern, characterized by a prolonged rainy season from April to October, peaking at the beginning of this period, and a shorter rainy season from November to February. The average annual rainfall measures 1,729 mm, while the mean annual temperature ranges between 13.7°C and 23.0°C. The Gole Community Managed Forest is classified as a moist evergreen montane forest. The predominant soil types in the area include </w:t>
      </w:r>
      <w:proofErr w:type="spellStart"/>
      <w:r w:rsidRPr="00150B9E">
        <w:t>Acrisols</w:t>
      </w:r>
      <w:proofErr w:type="spellEnd"/>
      <w:r w:rsidRPr="00150B9E">
        <w:t xml:space="preserve"> and </w:t>
      </w:r>
      <w:proofErr w:type="spellStart"/>
      <w:r w:rsidRPr="00150B9E">
        <w:t>Nitosols</w:t>
      </w:r>
      <w:proofErr w:type="spellEnd"/>
      <w:r w:rsidRPr="00150B9E">
        <w:t>.</w:t>
      </w:r>
    </w:p>
    <w:p w14:paraId="41AA25AF" w14:textId="77777777" w:rsidR="003B579B" w:rsidRPr="00150B9E" w:rsidRDefault="003B579B" w:rsidP="000D27B9">
      <w:pPr>
        <w:spacing w:before="100" w:beforeAutospacing="1" w:after="100" w:afterAutospacing="1" w:line="360" w:lineRule="auto"/>
        <w:jc w:val="center"/>
        <w:rPr>
          <w:rFonts w:ascii="Times New Roman" w:hAnsi="Times New Roman" w:cs="Times New Roman"/>
          <w:sz w:val="24"/>
          <w:szCs w:val="24"/>
        </w:rPr>
      </w:pPr>
      <w:r w:rsidRPr="00150B9E">
        <w:rPr>
          <w:rFonts w:ascii="Times New Roman" w:eastAsiaTheme="majorEastAsia" w:hAnsi="Times New Roman" w:cs="Times New Roman"/>
          <w:bCs/>
          <w:noProof/>
          <w:sz w:val="24"/>
          <w:szCs w:val="24"/>
        </w:rPr>
        <w:drawing>
          <wp:inline distT="0" distB="0" distL="0" distR="0" wp14:anchorId="0D2CFB65" wp14:editId="11B512E2">
            <wp:extent cx="5505450" cy="3550124"/>
            <wp:effectExtent l="19050" t="19050" r="19050" b="12700"/>
            <wp:docPr id="25" name="Picture 25" descr="C:\Users\JOHN\Desktop\GOLE  MAP\study site 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N\Desktop\GOLE  MAP\study site goo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6678" cy="3557364"/>
                    </a:xfrm>
                    <a:prstGeom prst="rect">
                      <a:avLst/>
                    </a:prstGeom>
                    <a:noFill/>
                    <a:ln w="19050">
                      <a:solidFill>
                        <a:schemeClr val="tx1"/>
                      </a:solidFill>
                    </a:ln>
                  </pic:spPr>
                </pic:pic>
              </a:graphicData>
            </a:graphic>
          </wp:inline>
        </w:drawing>
      </w:r>
    </w:p>
    <w:p w14:paraId="377481DE" w14:textId="77777777" w:rsidR="003B579B" w:rsidRPr="00150B9E" w:rsidRDefault="003B579B" w:rsidP="000D27B9">
      <w:pPr>
        <w:spacing w:before="100" w:beforeAutospacing="1" w:after="100" w:afterAutospacing="1" w:line="360" w:lineRule="auto"/>
        <w:rPr>
          <w:rStyle w:val="Heading1Char"/>
          <w:rFonts w:ascii="Times New Roman" w:hAnsi="Times New Roman" w:cs="Times New Roman"/>
          <w:b w:val="0"/>
          <w:color w:val="auto"/>
          <w:sz w:val="24"/>
          <w:szCs w:val="24"/>
        </w:rPr>
      </w:pPr>
      <w:bookmarkStart w:id="1" w:name="_Toc21882306"/>
      <w:bookmarkStart w:id="2" w:name="_Toc22466477"/>
      <w:bookmarkStart w:id="3" w:name="_Toc24612907"/>
      <w:bookmarkStart w:id="4" w:name="_Toc24616418"/>
      <w:bookmarkStart w:id="5" w:name="_Toc24619925"/>
      <w:r w:rsidRPr="00150B9E">
        <w:rPr>
          <w:rStyle w:val="Heading1Char"/>
          <w:rFonts w:ascii="Times New Roman" w:hAnsi="Times New Roman" w:cs="Times New Roman"/>
          <w:b w:val="0"/>
          <w:color w:val="auto"/>
          <w:sz w:val="24"/>
          <w:szCs w:val="24"/>
        </w:rPr>
        <w:t xml:space="preserve">        Figure 1: Map of the Gole Community Managed Forest (Study area)</w:t>
      </w:r>
      <w:bookmarkEnd w:id="1"/>
      <w:bookmarkEnd w:id="2"/>
      <w:bookmarkEnd w:id="3"/>
      <w:bookmarkEnd w:id="4"/>
      <w:bookmarkEnd w:id="5"/>
    </w:p>
    <w:p w14:paraId="0BA6EC95" w14:textId="77777777" w:rsidR="003B579B" w:rsidRPr="00150B9E" w:rsidRDefault="003B579B" w:rsidP="000D27B9">
      <w:pPr>
        <w:pStyle w:val="Heading3"/>
        <w:spacing w:line="360" w:lineRule="auto"/>
        <w:rPr>
          <w:sz w:val="24"/>
          <w:szCs w:val="24"/>
        </w:rPr>
      </w:pPr>
      <w:r w:rsidRPr="00150B9E">
        <w:rPr>
          <w:color w:val="FFFFFF"/>
          <w:sz w:val="24"/>
          <w:szCs w:val="24"/>
        </w:rPr>
        <w:t>2</w:t>
      </w:r>
      <w:r w:rsidRPr="00150B9E">
        <w:rPr>
          <w:sz w:val="24"/>
          <w:szCs w:val="24"/>
        </w:rPr>
        <w:t>2.2 Methods</w:t>
      </w:r>
    </w:p>
    <w:p w14:paraId="1DCEB5D2" w14:textId="77777777" w:rsidR="003B579B" w:rsidRPr="00150B9E" w:rsidRDefault="003B579B" w:rsidP="000D27B9">
      <w:pPr>
        <w:pStyle w:val="Heading4"/>
        <w:spacing w:before="100" w:beforeAutospacing="1" w:after="100" w:afterAutospacing="1" w:line="360" w:lineRule="auto"/>
        <w:jc w:val="both"/>
        <w:rPr>
          <w:rFonts w:ascii="Times New Roman" w:hAnsi="Times New Roman" w:cs="Times New Roman"/>
          <w:color w:val="auto"/>
          <w:sz w:val="24"/>
          <w:szCs w:val="24"/>
        </w:rPr>
      </w:pPr>
      <w:r w:rsidRPr="00150B9E">
        <w:rPr>
          <w:rFonts w:ascii="Times New Roman" w:hAnsi="Times New Roman" w:cs="Times New Roman"/>
          <w:color w:val="auto"/>
          <w:sz w:val="24"/>
          <w:szCs w:val="24"/>
        </w:rPr>
        <w:lastRenderedPageBreak/>
        <w:t>2.2.1 Delineation of Study Area</w:t>
      </w:r>
    </w:p>
    <w:p w14:paraId="1E21FAC7" w14:textId="77777777" w:rsidR="003B579B" w:rsidRPr="00150B9E" w:rsidRDefault="003B579B" w:rsidP="000D27B9">
      <w:pPr>
        <w:pStyle w:val="NormalWeb"/>
        <w:spacing w:line="360" w:lineRule="auto"/>
        <w:jc w:val="both"/>
      </w:pPr>
      <w:r w:rsidRPr="00150B9E">
        <w:t xml:space="preserve">To identify plot locations in the field, a systematic grid sampling method was employed at regular intervals. The Quantum Geographic Information System (QGIS version 3) was utilized to create a grid over the mapped forest area, with equally spaced grid lines set along the latitude and longitude to establish intersection points (Figure 2). The geographic coordinates of the study area were mapped, and contours were placed at intervals of 400 meters. This process resulted in the identification of a total of 47 intersection points throughout the mapped area. Each plot was designated a unique location using GPS coordinates, and temporary identification numbers were assigned during the field assessment. </w:t>
      </w:r>
    </w:p>
    <w:p w14:paraId="189E74B2" w14:textId="77777777" w:rsidR="003B579B" w:rsidRPr="00150B9E" w:rsidRDefault="003B579B" w:rsidP="000D27B9">
      <w:pPr>
        <w:pStyle w:val="NormalWeb"/>
        <w:spacing w:line="360" w:lineRule="auto"/>
        <w:jc w:val="both"/>
      </w:pPr>
      <w:r w:rsidRPr="00150B9E">
        <w:t>Plot locations that were inaccessible due to barriers such as rivers, roads, or boundaries were either excluded or shifted to nearby accessible locations. To reduce the influence of edge effects, all plots were positioned at least 50 meters away from the nearest roads or borders. Ultimately, 47 plots were established for floristic data collection across the study area.</w:t>
      </w:r>
    </w:p>
    <w:p w14:paraId="11EF8052" w14:textId="77777777" w:rsidR="003B579B" w:rsidRPr="00150B9E" w:rsidRDefault="003B579B" w:rsidP="000D27B9">
      <w:pPr>
        <w:spacing w:before="100" w:beforeAutospacing="1" w:after="100" w:afterAutospacing="1" w:line="360" w:lineRule="auto"/>
        <w:jc w:val="center"/>
        <w:rPr>
          <w:rFonts w:ascii="Times New Roman" w:hAnsi="Times New Roman" w:cs="Times New Roman"/>
          <w:sz w:val="24"/>
          <w:szCs w:val="24"/>
        </w:rPr>
      </w:pPr>
      <w:r w:rsidRPr="00150B9E">
        <w:rPr>
          <w:rFonts w:ascii="Times New Roman" w:hAnsi="Times New Roman" w:cs="Times New Roman"/>
          <w:noProof/>
          <w:sz w:val="24"/>
          <w:szCs w:val="24"/>
        </w:rPr>
        <w:drawing>
          <wp:inline distT="0" distB="0" distL="0" distR="0" wp14:anchorId="6AA21CA0" wp14:editId="68310CA0">
            <wp:extent cx="5073650" cy="3854450"/>
            <wp:effectExtent l="19050" t="1905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6F2C.tmp"/>
                    <pic:cNvPicPr/>
                  </pic:nvPicPr>
                  <pic:blipFill>
                    <a:blip r:embed="rId10">
                      <a:extLst>
                        <a:ext uri="{28A0092B-C50C-407E-A947-70E740481C1C}">
                          <a14:useLocalDpi xmlns:a14="http://schemas.microsoft.com/office/drawing/2010/main" val="0"/>
                        </a:ext>
                      </a:extLst>
                    </a:blip>
                    <a:stretch>
                      <a:fillRect/>
                    </a:stretch>
                  </pic:blipFill>
                  <pic:spPr>
                    <a:xfrm>
                      <a:off x="0" y="0"/>
                      <a:ext cx="5103577" cy="3877186"/>
                    </a:xfrm>
                    <a:prstGeom prst="rect">
                      <a:avLst/>
                    </a:prstGeom>
                    <a:ln w="19050">
                      <a:solidFill>
                        <a:schemeClr val="tx1"/>
                      </a:solidFill>
                    </a:ln>
                  </pic:spPr>
                </pic:pic>
              </a:graphicData>
            </a:graphic>
          </wp:inline>
        </w:drawing>
      </w:r>
      <w:bookmarkStart w:id="6" w:name="_Toc24612911"/>
      <w:bookmarkStart w:id="7" w:name="_Toc24616422"/>
      <w:bookmarkStart w:id="8" w:name="_Toc24619929"/>
    </w:p>
    <w:p w14:paraId="2C1A9159" w14:textId="77777777" w:rsidR="003B579B" w:rsidRPr="00150B9E" w:rsidRDefault="003B579B" w:rsidP="000D27B9">
      <w:pPr>
        <w:spacing w:before="100" w:beforeAutospacing="1" w:after="100" w:afterAutospacing="1" w:line="360" w:lineRule="auto"/>
        <w:rPr>
          <w:rFonts w:ascii="Times New Roman" w:hAnsi="Times New Roman" w:cs="Times New Roman"/>
          <w:sz w:val="24"/>
          <w:szCs w:val="24"/>
        </w:rPr>
      </w:pPr>
      <w:r w:rsidRPr="00150B9E">
        <w:rPr>
          <w:rFonts w:ascii="Times New Roman" w:hAnsi="Times New Roman" w:cs="Times New Roman"/>
          <w:sz w:val="24"/>
          <w:szCs w:val="24"/>
        </w:rPr>
        <w:lastRenderedPageBreak/>
        <w:t xml:space="preserve">                  Figure 2: Systematic grid sampling using QGIS Software Using Version 3</w:t>
      </w:r>
      <w:bookmarkEnd w:id="6"/>
      <w:bookmarkEnd w:id="7"/>
      <w:bookmarkEnd w:id="8"/>
    </w:p>
    <w:p w14:paraId="1246C8B8" w14:textId="77777777" w:rsidR="003B579B" w:rsidRPr="00150B9E" w:rsidRDefault="003B579B" w:rsidP="000D27B9">
      <w:pPr>
        <w:pStyle w:val="z-BottomofForm"/>
        <w:spacing w:before="100" w:beforeAutospacing="1" w:after="100" w:afterAutospacing="1" w:line="360" w:lineRule="auto"/>
        <w:jc w:val="left"/>
        <w:rPr>
          <w:rFonts w:ascii="Times New Roman" w:hAnsi="Times New Roman" w:cs="Times New Roman"/>
          <w:sz w:val="24"/>
          <w:szCs w:val="24"/>
        </w:rPr>
      </w:pPr>
      <w:r w:rsidRPr="00150B9E">
        <w:rPr>
          <w:rFonts w:ascii="Times New Roman" w:hAnsi="Times New Roman" w:cs="Times New Roman"/>
          <w:sz w:val="24"/>
          <w:szCs w:val="24"/>
        </w:rPr>
        <w:t>Bottom of Form</w:t>
      </w:r>
    </w:p>
    <w:p w14:paraId="408EF5F6" w14:textId="77777777" w:rsidR="003B579B" w:rsidRPr="00150B9E" w:rsidRDefault="003B579B" w:rsidP="000D27B9">
      <w:pPr>
        <w:pStyle w:val="Heading3"/>
        <w:spacing w:line="360" w:lineRule="auto"/>
        <w:rPr>
          <w:sz w:val="24"/>
          <w:szCs w:val="24"/>
        </w:rPr>
      </w:pPr>
      <w:r w:rsidRPr="00150B9E">
        <w:rPr>
          <w:sz w:val="24"/>
          <w:szCs w:val="24"/>
        </w:rPr>
        <w:t>2.2.2 Sampling Design</w:t>
      </w:r>
    </w:p>
    <w:p w14:paraId="477EC445" w14:textId="77777777" w:rsidR="003B579B" w:rsidRPr="00150B9E" w:rsidRDefault="003B579B" w:rsidP="000D27B9">
      <w:pPr>
        <w:pStyle w:val="NormalWeb"/>
        <w:spacing w:line="360" w:lineRule="auto"/>
        <w:jc w:val="both"/>
      </w:pPr>
      <w:r w:rsidRPr="00150B9E">
        <w:t>The research will employ a combination of quantitative and qualitative methods to provide a comprehensive analysis of the forest's woody species, structural characteristics, and regeneration status. A nested plot design was implemented, featuring a main plot measuring 20 m x 20 m (400 m²), along with subplots of 5 m x 5 m (25 m²) and 1 m x 1 m (1 m²). This design was utilized for the assessment of trees with a diameter at breast height (DBH) of 5 cm or greater, as well as for the sampling of shrubs, saplings, and seedlings (Figure 3).</w:t>
      </w:r>
    </w:p>
    <w:p w14:paraId="653C661A" w14:textId="77777777" w:rsidR="003B579B" w:rsidRPr="00150B9E" w:rsidRDefault="003B579B" w:rsidP="000D27B9">
      <w:pPr>
        <w:tabs>
          <w:tab w:val="left" w:pos="2625"/>
        </w:tabs>
        <w:spacing w:before="100" w:beforeAutospacing="1" w:after="100" w:afterAutospacing="1" w:line="360" w:lineRule="auto"/>
        <w:jc w:val="center"/>
        <w:rPr>
          <w:rFonts w:ascii="Times New Roman" w:hAnsi="Times New Roman" w:cs="Times New Roman"/>
          <w:sz w:val="24"/>
          <w:szCs w:val="24"/>
        </w:rPr>
      </w:pPr>
      <w:r w:rsidRPr="00150B9E">
        <w:rPr>
          <w:rFonts w:ascii="Times New Roman" w:hAnsi="Times New Roman" w:cs="Times New Roman"/>
          <w:noProof/>
          <w:sz w:val="24"/>
          <w:szCs w:val="24"/>
        </w:rPr>
        <w:drawing>
          <wp:inline distT="0" distB="0" distL="0" distR="0" wp14:anchorId="3CBE428C" wp14:editId="6A0BC854">
            <wp:extent cx="5118100" cy="323902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83BF9.tmp"/>
                    <pic:cNvPicPr/>
                  </pic:nvPicPr>
                  <pic:blipFill>
                    <a:blip r:embed="rId11">
                      <a:extLst>
                        <a:ext uri="{28A0092B-C50C-407E-A947-70E740481C1C}">
                          <a14:useLocalDpi xmlns:a14="http://schemas.microsoft.com/office/drawing/2010/main" val="0"/>
                        </a:ext>
                      </a:extLst>
                    </a:blip>
                    <a:stretch>
                      <a:fillRect/>
                    </a:stretch>
                  </pic:blipFill>
                  <pic:spPr>
                    <a:xfrm>
                      <a:off x="0" y="0"/>
                      <a:ext cx="5121458" cy="3241152"/>
                    </a:xfrm>
                    <a:prstGeom prst="rect">
                      <a:avLst/>
                    </a:prstGeom>
                  </pic:spPr>
                </pic:pic>
              </a:graphicData>
            </a:graphic>
          </wp:inline>
        </w:drawing>
      </w:r>
      <w:bookmarkStart w:id="9" w:name="_Toc24612913"/>
      <w:bookmarkStart w:id="10" w:name="_Toc24616424"/>
      <w:bookmarkStart w:id="11" w:name="_Toc24619931"/>
    </w:p>
    <w:p w14:paraId="5925E7E2" w14:textId="77777777" w:rsidR="003B579B" w:rsidRPr="00150B9E" w:rsidRDefault="003B579B" w:rsidP="000D27B9">
      <w:pPr>
        <w:tabs>
          <w:tab w:val="left" w:pos="2625"/>
        </w:tabs>
        <w:spacing w:before="100" w:beforeAutospacing="1" w:after="100" w:afterAutospacing="1" w:line="360" w:lineRule="auto"/>
        <w:rPr>
          <w:rFonts w:ascii="Times New Roman" w:hAnsi="Times New Roman" w:cs="Times New Roman"/>
          <w:b/>
          <w:sz w:val="24"/>
          <w:szCs w:val="24"/>
        </w:rPr>
      </w:pPr>
      <w:r w:rsidRPr="00150B9E">
        <w:rPr>
          <w:rFonts w:ascii="Times New Roman" w:hAnsi="Times New Roman" w:cs="Times New Roman"/>
          <w:sz w:val="24"/>
          <w:szCs w:val="24"/>
        </w:rPr>
        <w:t xml:space="preserve">                      Figure 3: Design of plots for vegetation sampling </w:t>
      </w:r>
      <w:bookmarkEnd w:id="9"/>
      <w:bookmarkEnd w:id="10"/>
      <w:bookmarkEnd w:id="11"/>
    </w:p>
    <w:p w14:paraId="1E3DAD48" w14:textId="77777777" w:rsidR="003B579B" w:rsidRPr="00150B9E" w:rsidRDefault="003B579B" w:rsidP="000D27B9">
      <w:pPr>
        <w:pStyle w:val="Heading3"/>
        <w:tabs>
          <w:tab w:val="left" w:pos="630"/>
        </w:tabs>
        <w:spacing w:line="360" w:lineRule="auto"/>
        <w:jc w:val="both"/>
        <w:rPr>
          <w:sz w:val="24"/>
          <w:szCs w:val="24"/>
        </w:rPr>
      </w:pPr>
      <w:r w:rsidRPr="00150B9E">
        <w:rPr>
          <w:sz w:val="24"/>
          <w:szCs w:val="24"/>
        </w:rPr>
        <w:t>2.2.3 Data Collection Methods</w:t>
      </w:r>
    </w:p>
    <w:p w14:paraId="3F2D7760" w14:textId="77777777" w:rsidR="00F81305" w:rsidRDefault="003B579B" w:rsidP="000D27B9">
      <w:pPr>
        <w:pStyle w:val="NormalWeb"/>
        <w:tabs>
          <w:tab w:val="left" w:pos="630"/>
        </w:tabs>
        <w:spacing w:line="360" w:lineRule="auto"/>
        <w:jc w:val="both"/>
      </w:pPr>
      <w:r w:rsidRPr="00150B9E">
        <w:t xml:space="preserve">All woody plant species encountered within each quadrat were documented and assigned codes, including their vernacular and local names. For this study, all live trees and shrubs with a diameter of ≥1 cm were recorded in each quadrat using calipers and measuring tape. The total tree height (to the top of the crown) and the diameter at breast height (DBH) of all live trees with </w:t>
      </w:r>
      <w:r w:rsidRPr="00150B9E">
        <w:lastRenderedPageBreak/>
        <w:t xml:space="preserve">a height of ≥5 m were measured on-site using a </w:t>
      </w:r>
      <w:proofErr w:type="spellStart"/>
      <w:r w:rsidRPr="00150B9E">
        <w:t>Suunto</w:t>
      </w:r>
      <w:proofErr w:type="spellEnd"/>
      <w:r w:rsidRPr="00150B9E">
        <w:t xml:space="preserve"> Hypsometer for height and measuring tape for DBH. For trees or shrubs with multiple stems at a height of 1.3 m, they were considered as a single individual; the diameter for each branch was measured separately, and the measurements were averaged to establish one DBH value. For boles of trees or shrubs, the DBH measurement was taken from the point just above 1.3 m. Similarly, trees with multiple stems or forks below 1.3 m were also treated as a single individual </w:t>
      </w:r>
      <w:r w:rsidR="00F81305">
        <w:t>[17].</w:t>
      </w:r>
    </w:p>
    <w:p w14:paraId="4E497E02" w14:textId="77777777" w:rsidR="003B579B" w:rsidRPr="00150B9E" w:rsidRDefault="003B579B" w:rsidP="000D27B9">
      <w:pPr>
        <w:pStyle w:val="NormalWeb"/>
        <w:tabs>
          <w:tab w:val="left" w:pos="630"/>
        </w:tabs>
        <w:spacing w:line="360" w:lineRule="auto"/>
        <w:jc w:val="both"/>
      </w:pPr>
      <w:r w:rsidRPr="00150B9E">
        <w:t>In each quadrat, the species list along with the number of seedlings and saplings was recorded to assess the regeneration status. In this study, a seedling was defined as a woody individual with a DBH of less than 1 cm and a height of less than 1 m, while saplings were classified as those with a DBH and height between 1 cm and 5 cm. Mature trees were defined as those with a DBH of ≥5 cm and a height of 5 m or more.</w:t>
      </w:r>
    </w:p>
    <w:p w14:paraId="7473EE49" w14:textId="77777777" w:rsidR="003B579B" w:rsidRPr="00150B9E" w:rsidRDefault="003B579B" w:rsidP="000D27B9">
      <w:pPr>
        <w:pStyle w:val="NormalWeb"/>
        <w:tabs>
          <w:tab w:val="left" w:pos="630"/>
        </w:tabs>
        <w:spacing w:line="360" w:lineRule="auto"/>
        <w:jc w:val="both"/>
      </w:pPr>
      <w:r w:rsidRPr="00150B9E">
        <w:t>The frequency distribution of diameter classes for selected tree species in the area was divided into nine categories: (1) 1≤</w:t>
      </w:r>
      <w:r w:rsidR="004003F5" w:rsidRPr="00150B9E">
        <w:t xml:space="preserve"> </w:t>
      </w:r>
      <w:r w:rsidRPr="00150B9E">
        <w:t>5 cm, (2) ≥</w:t>
      </w:r>
      <w:r w:rsidR="004003F5" w:rsidRPr="00150B9E">
        <w:t xml:space="preserve"> </w:t>
      </w:r>
      <w:r w:rsidRPr="00150B9E">
        <w:t>5–20 cm, (3) &gt;</w:t>
      </w:r>
      <w:r w:rsidR="004003F5" w:rsidRPr="00150B9E">
        <w:t xml:space="preserve"> </w:t>
      </w:r>
      <w:r w:rsidRPr="00150B9E">
        <w:t>20–40 cm, (4) &gt;</w:t>
      </w:r>
      <w:r w:rsidR="004003F5" w:rsidRPr="00150B9E">
        <w:t xml:space="preserve"> </w:t>
      </w:r>
      <w:r w:rsidRPr="00150B9E">
        <w:t>40–60 cm, (5) &gt;</w:t>
      </w:r>
      <w:r w:rsidR="004003F5" w:rsidRPr="00150B9E">
        <w:t xml:space="preserve"> </w:t>
      </w:r>
      <w:r w:rsidRPr="00150B9E">
        <w:t>60–80 cm, (6) &gt;80–100 cm, (7) &gt;100–120 cm, (8) &gt;120–140 cm, and (9) &gt;140 cm. Additionally, tree heights were categorized into six classes based on their respective heights: (1) 1≤5 m, (2) ≥5–15 m, (3) &gt;15–25 m, (4) &gt;25–35 m, (5) &gt;35–45 m, and (6) &gt;45 m.</w:t>
      </w:r>
    </w:p>
    <w:p w14:paraId="1E896560" w14:textId="77777777" w:rsidR="003B579B" w:rsidRPr="00150B9E" w:rsidRDefault="003B579B" w:rsidP="000D27B9">
      <w:pPr>
        <w:pStyle w:val="Heading3"/>
        <w:tabs>
          <w:tab w:val="left" w:pos="630"/>
        </w:tabs>
        <w:spacing w:line="360" w:lineRule="auto"/>
        <w:jc w:val="both"/>
        <w:rPr>
          <w:sz w:val="24"/>
          <w:szCs w:val="24"/>
        </w:rPr>
      </w:pPr>
      <w:r w:rsidRPr="00150B9E">
        <w:rPr>
          <w:sz w:val="24"/>
          <w:szCs w:val="24"/>
        </w:rPr>
        <w:t xml:space="preserve">2.2.4 Vegetation </w:t>
      </w:r>
      <w:commentRangeStart w:id="12"/>
      <w:r w:rsidRPr="00150B9E">
        <w:rPr>
          <w:sz w:val="24"/>
          <w:szCs w:val="24"/>
        </w:rPr>
        <w:t>Identification</w:t>
      </w:r>
      <w:commentRangeEnd w:id="12"/>
      <w:r w:rsidR="00EA0153">
        <w:rPr>
          <w:rStyle w:val="CommentReference"/>
          <w:rFonts w:asciiTheme="minorHAnsi" w:eastAsiaTheme="minorHAnsi" w:hAnsiTheme="minorHAnsi" w:cstheme="minorBidi"/>
          <w:b w:val="0"/>
          <w:bCs w:val="0"/>
        </w:rPr>
        <w:commentReference w:id="12"/>
      </w:r>
    </w:p>
    <w:p w14:paraId="1802DB49" w14:textId="77777777" w:rsidR="003B579B" w:rsidRPr="00150B9E" w:rsidRDefault="003B579B" w:rsidP="000D27B9">
      <w:pPr>
        <w:pStyle w:val="NormalWeb"/>
        <w:tabs>
          <w:tab w:val="left" w:pos="630"/>
        </w:tabs>
        <w:spacing w:line="360" w:lineRule="auto"/>
        <w:jc w:val="both"/>
      </w:pPr>
      <w:r w:rsidRPr="00150B9E">
        <w:t xml:space="preserve">Plant identification was conducted in the field using resources such as "Useful Trees and Shrubs for Ethiopia" </w:t>
      </w:r>
      <w:r w:rsidR="00F81305">
        <w:t>[18</w:t>
      </w:r>
      <w:r w:rsidR="00F97481">
        <w:t>]</w:t>
      </w:r>
      <w:r w:rsidRPr="00150B9E">
        <w:t xml:space="preserve">, the published volumes of the "Flora of Ethiopia and Eritrea" (Edwards &amp; Hedberg, 1995), and the Natural Database for Africa (NDA) developed by Ermias Dagne (Version 2.0) </w:t>
      </w:r>
      <w:r w:rsidR="00F81305">
        <w:t>[19</w:t>
      </w:r>
      <w:r w:rsidR="00F97481">
        <w:t>]</w:t>
      </w:r>
      <w:r w:rsidRPr="00150B9E">
        <w:t>. For species that proved difficult to identify on-site, fresh voucher specimens were collected, properly pressed, and dried before being transported to the National Herbarium of Ethiopia (ETH) at Addis Ababa University for further identification.</w:t>
      </w:r>
    </w:p>
    <w:p w14:paraId="40A336F7"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b/>
          <w:sz w:val="24"/>
          <w:szCs w:val="24"/>
        </w:rPr>
      </w:pPr>
      <w:r w:rsidRPr="00150B9E">
        <w:rPr>
          <w:rFonts w:ascii="Times New Roman" w:hAnsi="Times New Roman" w:cs="Times New Roman"/>
          <w:b/>
          <w:sz w:val="24"/>
          <w:szCs w:val="24"/>
        </w:rPr>
        <w:t>2.3 Data Analysis</w:t>
      </w:r>
    </w:p>
    <w:p w14:paraId="50808B74"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          The ecological diversity and richness of species within the Gole Community Managed Natural Forest were assessed using the Shannon-Wiener diversity index (H'), as detailed by </w:t>
      </w:r>
      <w:r w:rsidR="00F97481">
        <w:rPr>
          <w:rFonts w:ascii="Times New Roman" w:hAnsi="Times New Roman" w:cs="Times New Roman"/>
          <w:sz w:val="24"/>
          <w:szCs w:val="24"/>
        </w:rPr>
        <w:t xml:space="preserve">[20]. </w:t>
      </w:r>
      <w:r w:rsidRPr="00150B9E">
        <w:rPr>
          <w:rFonts w:ascii="Times New Roman" w:hAnsi="Times New Roman" w:cs="Times New Roman"/>
          <w:sz w:val="24"/>
          <w:szCs w:val="24"/>
        </w:rPr>
        <w:t>The formula used for calculation is as follows:</w:t>
      </w:r>
    </w:p>
    <w:p w14:paraId="6E72C64B"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m:oMath>
        <m:r>
          <w:rPr>
            <w:rFonts w:ascii="Cambria Math" w:hAnsi="Cambria Math" w:cs="Times New Roman"/>
            <w:sz w:val="24"/>
            <w:szCs w:val="24"/>
          </w:rPr>
          <w:lastRenderedPageBreak/>
          <m:t>H'-</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r>
              <w:rPr>
                <w:rFonts w:ascii="Cambria Math" w:hAnsi="Cambria Math" w:cs="Times New Roman"/>
                <w:sz w:val="24"/>
                <w:szCs w:val="24"/>
              </w:rPr>
              <m:t>pilnpi</m:t>
            </m:r>
          </m:e>
        </m:nary>
      </m:oMath>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(Eq.1)</w:t>
      </w:r>
    </w:p>
    <w:p w14:paraId="442E0D54"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Where, H’ = Shannon diversity index, Pi = the proportion of individuals or the abundance of the </w:t>
      </w:r>
      <w:proofErr w:type="spellStart"/>
      <w:r w:rsidRPr="00150B9E">
        <w:rPr>
          <w:rFonts w:ascii="Times New Roman" w:hAnsi="Times New Roman" w:cs="Times New Roman"/>
          <w:sz w:val="24"/>
          <w:szCs w:val="24"/>
        </w:rPr>
        <w:t>i</w:t>
      </w:r>
      <w:r w:rsidRPr="00150B9E">
        <w:rPr>
          <w:rFonts w:ascii="Times New Roman" w:hAnsi="Times New Roman" w:cs="Times New Roman"/>
          <w:sz w:val="24"/>
          <w:szCs w:val="24"/>
          <w:vertAlign w:val="superscript"/>
        </w:rPr>
        <w:t>th</w:t>
      </w:r>
      <w:proofErr w:type="spellEnd"/>
      <w:r w:rsidRPr="00150B9E">
        <w:rPr>
          <w:rFonts w:ascii="Times New Roman" w:hAnsi="Times New Roman" w:cs="Times New Roman"/>
          <w:sz w:val="24"/>
          <w:szCs w:val="24"/>
          <w:vertAlign w:val="superscript"/>
        </w:rPr>
        <w:t xml:space="preserve"> </w:t>
      </w:r>
      <w:r w:rsidRPr="00150B9E">
        <w:rPr>
          <w:rFonts w:ascii="Times New Roman" w:hAnsi="Times New Roman" w:cs="Times New Roman"/>
          <w:sz w:val="24"/>
          <w:szCs w:val="24"/>
        </w:rPr>
        <w:t xml:space="preserve">species expressed as a proportion of a total cover K = the number of species, </w:t>
      </w:r>
      <w:proofErr w:type="spellStart"/>
      <w:r w:rsidRPr="00150B9E">
        <w:rPr>
          <w:rFonts w:ascii="Times New Roman" w:hAnsi="Times New Roman" w:cs="Times New Roman"/>
          <w:sz w:val="24"/>
          <w:szCs w:val="24"/>
        </w:rPr>
        <w:t>ln</w:t>
      </w:r>
      <w:proofErr w:type="spellEnd"/>
      <w:r w:rsidRPr="00150B9E">
        <w:rPr>
          <w:rFonts w:ascii="Times New Roman" w:hAnsi="Times New Roman" w:cs="Times New Roman"/>
          <w:sz w:val="24"/>
          <w:szCs w:val="24"/>
        </w:rPr>
        <w:t xml:space="preserve"> = log </w:t>
      </w:r>
      <w:proofErr w:type="spellStart"/>
      <w:r w:rsidRPr="00150B9E">
        <w:rPr>
          <w:rFonts w:ascii="Times New Roman" w:hAnsi="Times New Roman" w:cs="Times New Roman"/>
          <w:sz w:val="24"/>
          <w:szCs w:val="24"/>
        </w:rPr>
        <w:t>basen</w:t>
      </w:r>
      <w:proofErr w:type="spellEnd"/>
    </w:p>
    <w:p w14:paraId="35C22084"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Evenness were calculated using most common and widely used methods of </w:t>
      </w:r>
      <w:r w:rsidR="00F97481">
        <w:rPr>
          <w:rFonts w:ascii="Times New Roman" w:hAnsi="Times New Roman" w:cs="Times New Roman"/>
          <w:sz w:val="24"/>
          <w:szCs w:val="24"/>
        </w:rPr>
        <w:t xml:space="preserve">[21] </w:t>
      </w:r>
      <w:r w:rsidRPr="00150B9E">
        <w:rPr>
          <w:rFonts w:ascii="Times New Roman" w:hAnsi="Times New Roman" w:cs="Times New Roman"/>
          <w:sz w:val="24"/>
          <w:szCs w:val="24"/>
        </w:rPr>
        <w:t xml:space="preserve">as follows </w:t>
      </w:r>
    </w:p>
    <w:p w14:paraId="736628FD"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J= H'/H' max ………………………………………</w:t>
      </w:r>
      <w:r w:rsidR="007F66D2">
        <w:rPr>
          <w:rFonts w:ascii="Times New Roman" w:hAnsi="Times New Roman" w:cs="Times New Roman"/>
          <w:sz w:val="24"/>
          <w:szCs w:val="24"/>
        </w:rPr>
        <w:t>….</w:t>
      </w:r>
      <w:r w:rsidRPr="00150B9E">
        <w:rPr>
          <w:rFonts w:ascii="Times New Roman" w:hAnsi="Times New Roman" w:cs="Times New Roman"/>
          <w:sz w:val="24"/>
          <w:szCs w:val="24"/>
        </w:rPr>
        <w:t>……………………………………. (Eq.2)</w:t>
      </w:r>
    </w:p>
    <w:p w14:paraId="313F653A"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Where, J= Evenness, H'= Shannon-Wiener diversity index and H ’max = </w:t>
      </w:r>
      <w:proofErr w:type="spellStart"/>
      <w:r w:rsidRPr="00150B9E">
        <w:rPr>
          <w:rFonts w:ascii="Times New Roman" w:hAnsi="Times New Roman" w:cs="Times New Roman"/>
          <w:sz w:val="24"/>
          <w:szCs w:val="24"/>
        </w:rPr>
        <w:t>lns</w:t>
      </w:r>
      <w:proofErr w:type="spellEnd"/>
      <w:r w:rsidRPr="00150B9E">
        <w:rPr>
          <w:rFonts w:ascii="Times New Roman" w:hAnsi="Times New Roman" w:cs="Times New Roman"/>
          <w:sz w:val="24"/>
          <w:szCs w:val="24"/>
        </w:rPr>
        <w:t xml:space="preserve"> where s is the number of species</w:t>
      </w:r>
    </w:p>
    <w:p w14:paraId="681B2A86" w14:textId="77777777" w:rsidR="004003F5" w:rsidRPr="00F81305" w:rsidRDefault="004003F5" w:rsidP="000D27B9">
      <w:pPr>
        <w:spacing w:before="100" w:beforeAutospacing="1" w:after="100" w:afterAutospacing="1" w:line="360" w:lineRule="auto"/>
        <w:jc w:val="both"/>
        <w:rPr>
          <w:rFonts w:ascii="Times New Roman" w:eastAsia="Times New Roman" w:hAnsi="Times New Roman" w:cs="Times New Roman"/>
          <w:color w:val="FF0000"/>
          <w:sz w:val="24"/>
          <w:szCs w:val="24"/>
        </w:rPr>
      </w:pPr>
      <w:r w:rsidRPr="00150B9E">
        <w:rPr>
          <w:rFonts w:ascii="Times New Roman" w:hAnsi="Times New Roman" w:cs="Times New Roman"/>
          <w:sz w:val="24"/>
          <w:szCs w:val="24"/>
        </w:rPr>
        <w:t xml:space="preserve">         </w:t>
      </w:r>
      <w:r w:rsidRPr="00150B9E">
        <w:rPr>
          <w:rFonts w:ascii="Times New Roman" w:eastAsia="Times New Roman" w:hAnsi="Times New Roman" w:cs="Times New Roman"/>
          <w:sz w:val="24"/>
          <w:szCs w:val="24"/>
        </w:rPr>
        <w:t xml:space="preserve">An evaluation of all woody species was conducted by examining their diameter at breast height (DBH), height, frequency, relative frequency, density, relative density, and dominance (basal area). The Important Value Index (IVI) was calculated to evaluate and compare the significance of various species, incorporating multiple attributes, with species exhibiting higher IVI values deemed dominant in the study area. </w:t>
      </w:r>
    </w:p>
    <w:p w14:paraId="753B4951" w14:textId="77777777" w:rsidR="004003F5" w:rsidRPr="00150B9E" w:rsidRDefault="004003F5"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Structural parameters were computed for selected species using the guidelines of </w:t>
      </w:r>
      <w:r w:rsidR="00F97481">
        <w:rPr>
          <w:rFonts w:ascii="Times New Roman" w:eastAsia="Times New Roman" w:hAnsi="Times New Roman" w:cs="Times New Roman"/>
          <w:sz w:val="24"/>
          <w:szCs w:val="24"/>
        </w:rPr>
        <w:t xml:space="preserve">[22]. </w:t>
      </w:r>
      <w:r w:rsidRPr="00150B9E">
        <w:rPr>
          <w:rFonts w:ascii="Times New Roman" w:eastAsia="Times New Roman" w:hAnsi="Times New Roman" w:cs="Times New Roman"/>
          <w:sz w:val="24"/>
          <w:szCs w:val="24"/>
        </w:rPr>
        <w:t xml:space="preserve">Diameter was determined from the circumference of each tree, while basal area was defined as the cross-sectional area of all stems within a stand measured at breast height (1.3 meters above ground level). </w:t>
      </w:r>
    </w:p>
    <w:p w14:paraId="7E78A52E" w14:textId="77777777" w:rsidR="004003F5" w:rsidRPr="00150B9E" w:rsidRDefault="004003F5"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hAnsi="Times New Roman" w:cs="Times New Roman"/>
          <w:sz w:val="24"/>
          <w:szCs w:val="24"/>
        </w:rPr>
        <w:t>Relative density is calculated by dividing the number of individuals of a specific species by the total number of individuals (with a diameter at breast height (DBH) of 2 cm or greater) and then multiplying by 100. Conversely, relative dominance, expressed in terms of basal area, is determined by taking the basal area of a species and dividing it by the total basal area of all species (considering those with a DBH of 2.5 cm or greater), then multiplying by 100. Relative frequency, on the other hand, is defined as the occurrence of a species across the total number of plots surveyed, divided by the total occurrences of all species in those plots, and then multiplied by 100.</w:t>
      </w:r>
    </w:p>
    <w:p w14:paraId="7565C02E"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m:oMath>
        <m:r>
          <m:rPr>
            <m:sty m:val="p"/>
          </m:rPr>
          <w:rPr>
            <w:rFonts w:ascii="Cambria Math" w:hAnsi="Cambria Math" w:cs="Times New Roman"/>
            <w:sz w:val="24"/>
            <w:szCs w:val="24"/>
          </w:rPr>
          <m:t>Relative density</m:t>
        </m:r>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Number of individuals of species</m:t>
            </m:r>
          </m:num>
          <m:den>
            <m:r>
              <m:rPr>
                <m:sty m:val="p"/>
              </m:rPr>
              <w:rPr>
                <w:rFonts w:ascii="Cambria Math" w:hAnsi="Cambria Math" w:cs="Times New Roman"/>
                <w:sz w:val="24"/>
                <w:szCs w:val="24"/>
              </w:rPr>
              <m:t>Total number of individuals of all species</m:t>
            </m:r>
          </m:den>
        </m:f>
        <m:r>
          <m:rPr>
            <m:sty m:val="p"/>
          </m:rPr>
          <w:rPr>
            <w:rFonts w:ascii="Cambria Math" w:hAnsi="Cambria Math" w:cs="Times New Roman"/>
            <w:sz w:val="24"/>
            <w:szCs w:val="24"/>
          </w:rPr>
          <m:t>×100</m:t>
        </m:r>
      </m:oMath>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(Eq.3)</w:t>
      </w:r>
    </w:p>
    <w:p w14:paraId="5B8AA942"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lastRenderedPageBreak/>
        <w:t>Relative dominance or basal area</w:t>
      </w:r>
      <m:oMath>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basal area of each species</m:t>
            </m:r>
          </m:num>
          <m:den>
            <m:r>
              <m:rPr>
                <m:sty m:val="p"/>
              </m:rPr>
              <w:rPr>
                <w:rFonts w:ascii="Cambria Math" w:hAnsi="Cambria Math" w:cs="Times New Roman"/>
                <w:sz w:val="24"/>
                <w:szCs w:val="24"/>
              </w:rPr>
              <m:t>Total basal area</m:t>
            </m:r>
          </m:den>
        </m:f>
        <m:r>
          <m:rPr>
            <m:sty m:val="p"/>
          </m:rPr>
          <w:rPr>
            <w:rFonts w:ascii="Cambria Math" w:hAnsi="Cambria Math" w:cs="Times New Roman"/>
            <w:sz w:val="24"/>
            <w:szCs w:val="24"/>
          </w:rPr>
          <m:t>×100</m:t>
        </m:r>
      </m:oMath>
      <w:r w:rsidRPr="00150B9E">
        <w:rPr>
          <w:rFonts w:ascii="Times New Roman" w:hAnsi="Times New Roman" w:cs="Times New Roman"/>
          <w:sz w:val="24"/>
          <w:szCs w:val="24"/>
        </w:rPr>
        <w:t xml:space="preserve"> …….……</w:t>
      </w:r>
      <w:r w:rsidR="007F66D2">
        <w:rPr>
          <w:rFonts w:ascii="Times New Roman" w:hAnsi="Times New Roman" w:cs="Times New Roman"/>
          <w:sz w:val="24"/>
          <w:szCs w:val="24"/>
        </w:rPr>
        <w:t>...…</w:t>
      </w:r>
      <w:r w:rsidRPr="00150B9E">
        <w:rPr>
          <w:rFonts w:ascii="Times New Roman" w:hAnsi="Times New Roman" w:cs="Times New Roman"/>
          <w:sz w:val="24"/>
          <w:szCs w:val="24"/>
        </w:rPr>
        <w:t>………… (Eq.4)</w:t>
      </w:r>
    </w:p>
    <w:p w14:paraId="718C2F40"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m:oMath>
        <m:r>
          <m:rPr>
            <m:sty m:val="p"/>
          </m:rPr>
          <w:rPr>
            <w:rFonts w:ascii="Cambria Math" w:hAnsi="Cambria Math" w:cs="Times New Roman"/>
            <w:sz w:val="24"/>
            <w:szCs w:val="24"/>
          </w:rPr>
          <m:t xml:space="preserve">Relative frequency </m:t>
        </m:r>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Frequency of each species</m:t>
            </m:r>
          </m:num>
          <m:den>
            <m:r>
              <m:rPr>
                <m:sty m:val="p"/>
              </m:rPr>
              <w:rPr>
                <w:rFonts w:ascii="Cambria Math" w:hAnsi="Cambria Math" w:cs="Times New Roman"/>
                <w:sz w:val="24"/>
                <w:szCs w:val="24"/>
              </w:rPr>
              <m:t>Total Frequency of species</m:t>
            </m:r>
          </m:den>
        </m:f>
      </m:oMath>
      <w:r w:rsidRPr="00150B9E">
        <w:rPr>
          <w:rFonts w:ascii="Times New Roman" w:hAnsi="Times New Roman" w:cs="Times New Roman"/>
          <w:sz w:val="24"/>
          <w:szCs w:val="24"/>
        </w:rPr>
        <w:t>×100…………….……………</w:t>
      </w:r>
      <w:r w:rsidR="007F66D2">
        <w:rPr>
          <w:rFonts w:ascii="Times New Roman" w:hAnsi="Times New Roman" w:cs="Times New Roman"/>
          <w:sz w:val="24"/>
          <w:szCs w:val="24"/>
        </w:rPr>
        <w:t>..</w:t>
      </w:r>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(Eq.5)</w:t>
      </w:r>
    </w:p>
    <w:p w14:paraId="29FDA822"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m:oMath>
        <m:r>
          <m:rPr>
            <m:sty m:val="p"/>
          </m:rPr>
          <w:rPr>
            <w:rFonts w:ascii="Cambria Math" w:hAnsi="Cambria Math" w:cs="Times New Roman"/>
            <w:sz w:val="24"/>
            <w:szCs w:val="24"/>
          </w:rPr>
          <m:t>IVI</m:t>
        </m:r>
        <m:r>
          <w:rPr>
            <w:rFonts w:ascii="Cambria Math" w:hAnsi="Cambria Math" w:cs="Times New Roman"/>
            <w:sz w:val="24"/>
            <w:szCs w:val="24"/>
          </w:rPr>
          <m:t xml:space="preserve">= </m:t>
        </m:r>
        <m:r>
          <m:rPr>
            <m:sty m:val="p"/>
          </m:rPr>
          <w:rPr>
            <w:rFonts w:ascii="Cambria Math" w:hAnsi="Cambria Math" w:cs="Times New Roman"/>
            <w:sz w:val="24"/>
            <w:szCs w:val="24"/>
          </w:rPr>
          <m:t>Relative density + Relative frequency + Relative dominance</m:t>
        </m:r>
      </m:oMath>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(Eq.6)</w:t>
      </w:r>
    </w:p>
    <w:p w14:paraId="0327D9D3"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The regeneration status of the Gole Community Forest was assessed by analyzing the ratio of saplings and seedlings to mature trees, in accordance with the established methodologies</w:t>
      </w:r>
      <w:r w:rsidRPr="00150B9E">
        <w:rPr>
          <w:rFonts w:ascii="Times New Roman" w:eastAsia="Times New Roman" w:hAnsi="Times New Roman" w:cs="Times New Roman"/>
          <w:sz w:val="24"/>
          <w:szCs w:val="24"/>
        </w:rPr>
        <w:t xml:space="preserve"> </w:t>
      </w:r>
      <w:r w:rsidR="00E6704C">
        <w:rPr>
          <w:rFonts w:ascii="Times New Roman" w:eastAsia="Times New Roman" w:hAnsi="Times New Roman" w:cs="Times New Roman"/>
          <w:sz w:val="24"/>
          <w:szCs w:val="24"/>
        </w:rPr>
        <w:t xml:space="preserve">[23, 24]. </w:t>
      </w:r>
    </w:p>
    <w:p w14:paraId="2ADC3358" w14:textId="77777777" w:rsidR="00356888" w:rsidRPr="00150B9E" w:rsidRDefault="00356888" w:rsidP="000D27B9">
      <w:pPr>
        <w:pStyle w:val="ListParagraph"/>
        <w:numPr>
          <w:ilvl w:val="2"/>
          <w:numId w:val="29"/>
        </w:numPr>
        <w:spacing w:before="100" w:beforeAutospacing="1" w:after="100" w:afterAutospacing="1" w:line="360" w:lineRule="auto"/>
        <w:jc w:val="both"/>
        <w:rPr>
          <w:rStyle w:val="Strong"/>
          <w:rFonts w:ascii="Times New Roman" w:hAnsi="Times New Roman" w:cs="Times New Roman"/>
          <w:b w:val="0"/>
          <w:bCs w:val="0"/>
          <w:sz w:val="24"/>
          <w:szCs w:val="24"/>
        </w:rPr>
      </w:pPr>
      <w:r w:rsidRPr="00150B9E">
        <w:rPr>
          <w:rStyle w:val="Strong"/>
          <w:rFonts w:ascii="Times New Roman" w:hAnsi="Times New Roman" w:cs="Times New Roman"/>
          <w:sz w:val="24"/>
          <w:szCs w:val="24"/>
        </w:rPr>
        <w:t>Statistical Analysis</w:t>
      </w:r>
    </w:p>
    <w:p w14:paraId="5CAA7995" w14:textId="77777777" w:rsidR="00501D5D" w:rsidRPr="00150B9E" w:rsidRDefault="00153EE8"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hAnsi="Times New Roman" w:cs="Times New Roman"/>
          <w:sz w:val="24"/>
          <w:szCs w:val="24"/>
        </w:rPr>
        <w:t>Quantitative data were analyzed using SPSS version 25.0. Descriptive statistics was used to summarize the data, whil</w:t>
      </w:r>
      <w:r w:rsidR="00501D5D" w:rsidRPr="00150B9E">
        <w:rPr>
          <w:rFonts w:ascii="Times New Roman" w:hAnsi="Times New Roman" w:cs="Times New Roman"/>
          <w:sz w:val="24"/>
          <w:szCs w:val="24"/>
        </w:rPr>
        <w:t>e inferential statistics ANOVA, PCA was</w:t>
      </w:r>
      <w:r w:rsidRPr="00150B9E">
        <w:rPr>
          <w:rFonts w:ascii="Times New Roman" w:hAnsi="Times New Roman" w:cs="Times New Roman"/>
          <w:sz w:val="24"/>
          <w:szCs w:val="24"/>
        </w:rPr>
        <w:t xml:space="preserve"> employed to explore relationships between variables.</w:t>
      </w:r>
      <w:r w:rsidR="00356888" w:rsidRPr="00150B9E">
        <w:rPr>
          <w:rFonts w:ascii="Times New Roman" w:eastAsia="Times New Roman" w:hAnsi="Times New Roman" w:cs="Times New Roman"/>
          <w:sz w:val="24"/>
          <w:szCs w:val="24"/>
        </w:rPr>
        <w:t xml:space="preserve"> The software was utilized to analyze vegetation data along the Diameter-Height curve and to create histograms for diameter and height distributions, as well as the overall stand of woody species.</w:t>
      </w:r>
    </w:p>
    <w:p w14:paraId="130725F8" w14:textId="77777777" w:rsidR="00356888" w:rsidRPr="00150B9E" w:rsidRDefault="00153EE8" w:rsidP="000D27B9">
      <w:pPr>
        <w:pStyle w:val="ListParagraph"/>
        <w:numPr>
          <w:ilvl w:val="1"/>
          <w:numId w:val="29"/>
        </w:numPr>
        <w:spacing w:before="100" w:beforeAutospacing="1" w:after="100" w:afterAutospacing="1" w:line="360" w:lineRule="auto"/>
        <w:jc w:val="both"/>
        <w:rPr>
          <w:rFonts w:ascii="Times New Roman" w:hAnsi="Times New Roman" w:cs="Times New Roman"/>
          <w:b/>
          <w:sz w:val="24"/>
          <w:szCs w:val="24"/>
        </w:rPr>
      </w:pPr>
      <w:r w:rsidRPr="00150B9E">
        <w:rPr>
          <w:rFonts w:ascii="Times New Roman" w:hAnsi="Times New Roman" w:cs="Times New Roman"/>
          <w:b/>
          <w:sz w:val="24"/>
          <w:szCs w:val="24"/>
        </w:rPr>
        <w:t>Ethical Considerations</w:t>
      </w:r>
    </w:p>
    <w:p w14:paraId="14485098" w14:textId="77777777" w:rsidR="00153EE8" w:rsidRPr="00150B9E" w:rsidRDefault="00153EE8" w:rsidP="000D27B9">
      <w:pPr>
        <w:spacing w:before="100" w:beforeAutospacing="1" w:after="100" w:afterAutospacing="1" w:line="360" w:lineRule="auto"/>
        <w:jc w:val="both"/>
        <w:rPr>
          <w:rFonts w:ascii="Times New Roman" w:hAnsi="Times New Roman" w:cs="Times New Roman"/>
          <w:b/>
          <w:sz w:val="24"/>
          <w:szCs w:val="24"/>
        </w:rPr>
      </w:pPr>
      <w:r w:rsidRPr="00150B9E">
        <w:rPr>
          <w:rFonts w:ascii="Times New Roman" w:hAnsi="Times New Roman" w:cs="Times New Roman"/>
          <w:sz w:val="24"/>
          <w:szCs w:val="24"/>
        </w:rPr>
        <w:t>All research activities will adhere to ethical guidelines regarding environmental stewardship and respect for local communities. Engagement with local stakeholders will be prioritized to ensure alignment with community values and consent for research activities.</w:t>
      </w:r>
    </w:p>
    <w:p w14:paraId="3548A538" w14:textId="77777777" w:rsidR="00356888" w:rsidRPr="00150B9E" w:rsidRDefault="007F66D2" w:rsidP="000D27B9">
      <w:pPr>
        <w:spacing w:before="100" w:beforeAutospacing="1" w:after="100" w:afterAutospacing="1" w:line="360" w:lineRule="auto"/>
        <w:jc w:val="both"/>
        <w:rPr>
          <w:rFonts w:ascii="Times New Roman" w:eastAsia="Times New Roman" w:hAnsi="Times New Roman" w:cs="Times New Roman"/>
          <w:b/>
          <w:bCs/>
          <w:sz w:val="24"/>
          <w:szCs w:val="24"/>
        </w:rPr>
      </w:pPr>
      <w:r w:rsidRPr="00150B9E">
        <w:rPr>
          <w:rFonts w:ascii="Times New Roman" w:eastAsia="Times New Roman" w:hAnsi="Times New Roman" w:cs="Times New Roman"/>
          <w:b/>
          <w:bCs/>
          <w:sz w:val="24"/>
          <w:szCs w:val="24"/>
        </w:rPr>
        <w:t xml:space="preserve">3. RESULTS AND </w:t>
      </w:r>
      <w:commentRangeStart w:id="13"/>
      <w:r w:rsidRPr="00150B9E">
        <w:rPr>
          <w:rFonts w:ascii="Times New Roman" w:eastAsia="Times New Roman" w:hAnsi="Times New Roman" w:cs="Times New Roman"/>
          <w:b/>
          <w:bCs/>
          <w:sz w:val="24"/>
          <w:szCs w:val="24"/>
        </w:rPr>
        <w:t>DISCUSSION</w:t>
      </w:r>
      <w:commentRangeEnd w:id="13"/>
      <w:r w:rsidR="00136B17">
        <w:rPr>
          <w:rStyle w:val="CommentReference"/>
        </w:rPr>
        <w:commentReference w:id="13"/>
      </w:r>
    </w:p>
    <w:p w14:paraId="3EF7328E" w14:textId="77777777" w:rsidR="00356888" w:rsidRPr="00150B9E" w:rsidRDefault="00356888" w:rsidP="000D27B9">
      <w:pPr>
        <w:spacing w:before="100" w:beforeAutospacing="1" w:after="100" w:afterAutospacing="1" w:line="360" w:lineRule="auto"/>
        <w:jc w:val="both"/>
        <w:rPr>
          <w:rFonts w:ascii="Times New Roman" w:eastAsia="Times New Roman" w:hAnsi="Times New Roman" w:cs="Times New Roman"/>
          <w:b/>
          <w:bCs/>
          <w:sz w:val="24"/>
          <w:szCs w:val="24"/>
        </w:rPr>
      </w:pPr>
      <w:r w:rsidRPr="00150B9E">
        <w:rPr>
          <w:rFonts w:ascii="Times New Roman" w:eastAsia="Times New Roman" w:hAnsi="Times New Roman" w:cs="Times New Roman"/>
          <w:b/>
          <w:bCs/>
          <w:sz w:val="24"/>
          <w:szCs w:val="24"/>
        </w:rPr>
        <w:t>3.1 Floristic Composition</w:t>
      </w:r>
    </w:p>
    <w:p w14:paraId="2C5B49EE" w14:textId="77777777" w:rsidR="00356888" w:rsidRPr="00150B9E" w:rsidRDefault="00356888"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In the Gole Community Managed Forest, a total of 52 woody species (with a diameter at breast height (DBH) greater than 1 cm) were identified, which included 42 tree species (80.7%) and 10 shrub species (19.3%). These species belong to</w:t>
      </w:r>
      <w:r w:rsidR="00EF0E43">
        <w:rPr>
          <w:rFonts w:ascii="Times New Roman" w:eastAsia="Times New Roman" w:hAnsi="Times New Roman" w:cs="Times New Roman"/>
          <w:sz w:val="24"/>
          <w:szCs w:val="24"/>
        </w:rPr>
        <w:t xml:space="preserve"> 46 genera and 39 families (</w:t>
      </w:r>
      <w:r w:rsidRPr="00150B9E">
        <w:rPr>
          <w:rFonts w:ascii="Times New Roman" w:eastAsia="Times New Roman" w:hAnsi="Times New Roman" w:cs="Times New Roman"/>
          <w:sz w:val="24"/>
          <w:szCs w:val="24"/>
        </w:rPr>
        <w:t xml:space="preserve">Table 1). The </w:t>
      </w:r>
      <w:proofErr w:type="spellStart"/>
      <w:r w:rsidRPr="00EF0E43">
        <w:rPr>
          <w:rFonts w:ascii="Times New Roman" w:eastAsia="Times New Roman" w:hAnsi="Times New Roman" w:cs="Times New Roman"/>
          <w:i/>
          <w:sz w:val="24"/>
          <w:szCs w:val="24"/>
        </w:rPr>
        <w:t>Euphorbiaceae</w:t>
      </w:r>
      <w:proofErr w:type="spellEnd"/>
      <w:r w:rsidRPr="00150B9E">
        <w:rPr>
          <w:rFonts w:ascii="Times New Roman" w:eastAsia="Times New Roman" w:hAnsi="Times New Roman" w:cs="Times New Roman"/>
          <w:sz w:val="24"/>
          <w:szCs w:val="24"/>
        </w:rPr>
        <w:t xml:space="preserve"> and </w:t>
      </w:r>
      <w:proofErr w:type="spellStart"/>
      <w:r w:rsidRPr="00EF0E43">
        <w:rPr>
          <w:rFonts w:ascii="Times New Roman" w:eastAsia="Times New Roman" w:hAnsi="Times New Roman" w:cs="Times New Roman"/>
          <w:i/>
          <w:sz w:val="24"/>
          <w:szCs w:val="24"/>
        </w:rPr>
        <w:t>Celasteraceae</w:t>
      </w:r>
      <w:proofErr w:type="spellEnd"/>
      <w:r w:rsidRPr="00150B9E">
        <w:rPr>
          <w:rFonts w:ascii="Times New Roman" w:eastAsia="Times New Roman" w:hAnsi="Times New Roman" w:cs="Times New Roman"/>
          <w:sz w:val="24"/>
          <w:szCs w:val="24"/>
        </w:rPr>
        <w:t xml:space="preserve"> families were the most prominent, each represented by three species. Additionally, the </w:t>
      </w:r>
      <w:proofErr w:type="spellStart"/>
      <w:r w:rsidRPr="00EF0E43">
        <w:rPr>
          <w:rFonts w:ascii="Times New Roman" w:eastAsia="Times New Roman" w:hAnsi="Times New Roman" w:cs="Times New Roman"/>
          <w:i/>
          <w:sz w:val="24"/>
          <w:szCs w:val="24"/>
        </w:rPr>
        <w:t>Anacardiaceae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Asteraceae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Fabaceae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Loganiaceae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Meliaceae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Moraceae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Myrsinaceae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Rubiaceae</w:t>
      </w:r>
      <w:proofErr w:type="spellEnd"/>
      <w:r w:rsidRPr="00150B9E">
        <w:rPr>
          <w:rFonts w:ascii="Times New Roman" w:eastAsia="Times New Roman" w:hAnsi="Times New Roman" w:cs="Times New Roman"/>
          <w:sz w:val="24"/>
          <w:szCs w:val="24"/>
        </w:rPr>
        <w:t xml:space="preserve">, and </w:t>
      </w:r>
      <w:r w:rsidRPr="00EF0E43">
        <w:rPr>
          <w:rFonts w:ascii="Times New Roman" w:eastAsia="Times New Roman" w:hAnsi="Times New Roman" w:cs="Times New Roman"/>
          <w:i/>
          <w:sz w:val="24"/>
          <w:szCs w:val="24"/>
        </w:rPr>
        <w:t>Rosaceae</w:t>
      </w:r>
      <w:r w:rsidRPr="00150B9E">
        <w:rPr>
          <w:rFonts w:ascii="Times New Roman" w:eastAsia="Times New Roman" w:hAnsi="Times New Roman" w:cs="Times New Roman"/>
          <w:sz w:val="24"/>
          <w:szCs w:val="24"/>
        </w:rPr>
        <w:t xml:space="preserve"> families each comprised two species, while </w:t>
      </w:r>
      <w:r w:rsidRPr="00150B9E">
        <w:rPr>
          <w:rFonts w:ascii="Times New Roman" w:eastAsia="Times New Roman" w:hAnsi="Times New Roman" w:cs="Times New Roman"/>
          <w:sz w:val="24"/>
          <w:szCs w:val="24"/>
        </w:rPr>
        <w:lastRenderedPageBreak/>
        <w:t>the remaining 28 families were r</w:t>
      </w:r>
      <w:r w:rsidR="00EF0E43">
        <w:rPr>
          <w:rFonts w:ascii="Times New Roman" w:eastAsia="Times New Roman" w:hAnsi="Times New Roman" w:cs="Times New Roman"/>
          <w:sz w:val="24"/>
          <w:szCs w:val="24"/>
        </w:rPr>
        <w:t xml:space="preserve">epresented by a single species. </w:t>
      </w:r>
      <w:r w:rsidRPr="00150B9E">
        <w:rPr>
          <w:rFonts w:ascii="Times New Roman" w:eastAsia="Times New Roman" w:hAnsi="Times New Roman" w:cs="Times New Roman"/>
          <w:sz w:val="24"/>
          <w:szCs w:val="24"/>
        </w:rPr>
        <w:t xml:space="preserve">The species richness in the Gole Community Managed Forest is notably higher than that reported in other dry Afro-montane forests, such as the 15 woody species in </w:t>
      </w:r>
      <w:proofErr w:type="spellStart"/>
      <w:r w:rsidRPr="00150B9E">
        <w:rPr>
          <w:rFonts w:ascii="Times New Roman" w:eastAsia="Times New Roman" w:hAnsi="Times New Roman" w:cs="Times New Roman"/>
          <w:sz w:val="24"/>
          <w:szCs w:val="24"/>
        </w:rPr>
        <w:t>Doshke</w:t>
      </w:r>
      <w:proofErr w:type="spellEnd"/>
      <w:r w:rsidRPr="00150B9E">
        <w:rPr>
          <w:rFonts w:ascii="Times New Roman" w:eastAsia="Times New Roman" w:hAnsi="Times New Roman" w:cs="Times New Roman"/>
          <w:sz w:val="24"/>
          <w:szCs w:val="24"/>
        </w:rPr>
        <w:t xml:space="preserve"> Forest </w:t>
      </w:r>
      <w:r w:rsidR="00EF0E43">
        <w:rPr>
          <w:rFonts w:ascii="Times New Roman" w:eastAsia="Times New Roman" w:hAnsi="Times New Roman" w:cs="Times New Roman"/>
          <w:sz w:val="24"/>
          <w:szCs w:val="24"/>
        </w:rPr>
        <w:t xml:space="preserve">[25], </w:t>
      </w:r>
      <w:r w:rsidRPr="00150B9E">
        <w:rPr>
          <w:rFonts w:ascii="Times New Roman" w:eastAsia="Times New Roman" w:hAnsi="Times New Roman" w:cs="Times New Roman"/>
          <w:sz w:val="24"/>
          <w:szCs w:val="24"/>
        </w:rPr>
        <w:t xml:space="preserve">the 44 species in </w:t>
      </w:r>
      <w:proofErr w:type="spellStart"/>
      <w:r w:rsidRPr="00150B9E">
        <w:rPr>
          <w:rFonts w:ascii="Times New Roman" w:eastAsia="Times New Roman" w:hAnsi="Times New Roman" w:cs="Times New Roman"/>
          <w:sz w:val="24"/>
          <w:szCs w:val="24"/>
        </w:rPr>
        <w:t>Wanzaye</w:t>
      </w:r>
      <w:proofErr w:type="spellEnd"/>
      <w:r w:rsidRPr="00150B9E">
        <w:rPr>
          <w:rFonts w:ascii="Times New Roman" w:eastAsia="Times New Roman" w:hAnsi="Times New Roman" w:cs="Times New Roman"/>
          <w:sz w:val="24"/>
          <w:szCs w:val="24"/>
        </w:rPr>
        <w:t xml:space="preserve"> Forest </w:t>
      </w:r>
      <w:r w:rsidR="00EF0E43">
        <w:rPr>
          <w:rFonts w:ascii="Times New Roman" w:eastAsia="Times New Roman" w:hAnsi="Times New Roman" w:cs="Times New Roman"/>
          <w:sz w:val="24"/>
          <w:szCs w:val="24"/>
        </w:rPr>
        <w:t xml:space="preserve">[26], </w:t>
      </w:r>
      <w:r w:rsidRPr="00150B9E">
        <w:rPr>
          <w:rFonts w:ascii="Times New Roman" w:eastAsia="Times New Roman" w:hAnsi="Times New Roman" w:cs="Times New Roman"/>
          <w:sz w:val="24"/>
          <w:szCs w:val="24"/>
        </w:rPr>
        <w:t xml:space="preserve">the 33 species documented by </w:t>
      </w:r>
      <w:r w:rsidR="00EF0E43">
        <w:rPr>
          <w:rFonts w:ascii="Times New Roman" w:eastAsia="Times New Roman" w:hAnsi="Times New Roman" w:cs="Times New Roman"/>
          <w:sz w:val="24"/>
          <w:szCs w:val="24"/>
        </w:rPr>
        <w:t xml:space="preserve">[27], </w:t>
      </w:r>
      <w:r w:rsidRPr="00150B9E">
        <w:rPr>
          <w:rFonts w:ascii="Times New Roman" w:eastAsia="Times New Roman" w:hAnsi="Times New Roman" w:cs="Times New Roman"/>
          <w:sz w:val="24"/>
          <w:szCs w:val="24"/>
        </w:rPr>
        <w:t xml:space="preserve">as well as the 40 and 41 species found in Gera and </w:t>
      </w:r>
      <w:proofErr w:type="spellStart"/>
      <w:r w:rsidRPr="00150B9E">
        <w:rPr>
          <w:rFonts w:ascii="Times New Roman" w:eastAsia="Times New Roman" w:hAnsi="Times New Roman" w:cs="Times New Roman"/>
          <w:sz w:val="24"/>
          <w:szCs w:val="24"/>
        </w:rPr>
        <w:t>Menagesha</w:t>
      </w:r>
      <w:proofErr w:type="spellEnd"/>
      <w:r w:rsidRPr="00150B9E">
        <w:rPr>
          <w:rFonts w:ascii="Times New Roman" w:eastAsia="Times New Roman" w:hAnsi="Times New Roman" w:cs="Times New Roman"/>
          <w:sz w:val="24"/>
          <w:szCs w:val="24"/>
        </w:rPr>
        <w:t xml:space="preserve"> Forests, respectively</w:t>
      </w:r>
      <w:r w:rsidR="00EF0E43">
        <w:rPr>
          <w:rFonts w:ascii="Times New Roman" w:eastAsia="Times New Roman" w:hAnsi="Times New Roman" w:cs="Times New Roman"/>
          <w:sz w:val="24"/>
          <w:szCs w:val="24"/>
        </w:rPr>
        <w:t xml:space="preserve"> [28]. </w:t>
      </w:r>
      <w:r w:rsidRPr="00150B9E">
        <w:rPr>
          <w:rFonts w:ascii="Times New Roman" w:eastAsia="Times New Roman" w:hAnsi="Times New Roman" w:cs="Times New Roman"/>
          <w:sz w:val="24"/>
          <w:szCs w:val="24"/>
        </w:rPr>
        <w:t xml:space="preserve">However, it is less diverse when compared to the Washa natural forest, which hosts 62 woody species </w:t>
      </w:r>
      <w:r w:rsidR="00EF0E43">
        <w:rPr>
          <w:rFonts w:ascii="Times New Roman" w:eastAsia="Times New Roman" w:hAnsi="Times New Roman" w:cs="Times New Roman"/>
          <w:sz w:val="24"/>
          <w:szCs w:val="24"/>
        </w:rPr>
        <w:t xml:space="preserve">[29], </w:t>
      </w:r>
      <w:r w:rsidRPr="00150B9E">
        <w:rPr>
          <w:rFonts w:ascii="Times New Roman" w:eastAsia="Times New Roman" w:hAnsi="Times New Roman" w:cs="Times New Roman"/>
          <w:sz w:val="24"/>
          <w:szCs w:val="24"/>
        </w:rPr>
        <w:t xml:space="preserve">and the woody vegetation found in degraded dryland hillsides, which totals 58 species </w:t>
      </w:r>
      <w:r w:rsidR="00EF0E43">
        <w:rPr>
          <w:rFonts w:ascii="Times New Roman" w:eastAsia="Times New Roman" w:hAnsi="Times New Roman" w:cs="Times New Roman"/>
          <w:sz w:val="24"/>
          <w:szCs w:val="24"/>
        </w:rPr>
        <w:t xml:space="preserve">[30]. </w:t>
      </w:r>
    </w:p>
    <w:p w14:paraId="452FE8DB" w14:textId="77777777" w:rsidR="00356888" w:rsidRPr="00150B9E" w:rsidRDefault="00356888"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The Shannon-Wiener diversity index (H') for the</w:t>
      </w:r>
      <w:r w:rsidR="003A7E1E">
        <w:rPr>
          <w:rFonts w:ascii="Times New Roman" w:eastAsia="Times New Roman" w:hAnsi="Times New Roman" w:cs="Times New Roman"/>
          <w:sz w:val="24"/>
          <w:szCs w:val="24"/>
        </w:rPr>
        <w:t xml:space="preserve"> Gole Community Managed f</w:t>
      </w:r>
      <w:r w:rsidRPr="00150B9E">
        <w:rPr>
          <w:rFonts w:ascii="Times New Roman" w:eastAsia="Times New Roman" w:hAnsi="Times New Roman" w:cs="Times New Roman"/>
          <w:sz w:val="24"/>
          <w:szCs w:val="24"/>
        </w:rPr>
        <w:t xml:space="preserve">orest was calculated to be 5.922, with an evenness index of 0.901, indicating a high level of species diversity and equitability </w:t>
      </w:r>
      <w:r w:rsidR="00EF0E43">
        <w:rPr>
          <w:rFonts w:ascii="Times New Roman" w:eastAsia="Times New Roman" w:hAnsi="Times New Roman" w:cs="Times New Roman"/>
          <w:sz w:val="24"/>
          <w:szCs w:val="24"/>
        </w:rPr>
        <w:t xml:space="preserve">[31, 32]. </w:t>
      </w:r>
      <w:r w:rsidRPr="00150B9E">
        <w:rPr>
          <w:rFonts w:ascii="Times New Roman" w:eastAsia="Times New Roman" w:hAnsi="Times New Roman" w:cs="Times New Roman"/>
          <w:sz w:val="24"/>
          <w:szCs w:val="24"/>
        </w:rPr>
        <w:t xml:space="preserve">The evenness was assessed using the method proposed by </w:t>
      </w:r>
      <w:r w:rsidR="00EF0E43">
        <w:rPr>
          <w:rFonts w:ascii="Times New Roman" w:eastAsia="Times New Roman" w:hAnsi="Times New Roman" w:cs="Times New Roman"/>
          <w:sz w:val="24"/>
          <w:szCs w:val="24"/>
        </w:rPr>
        <w:t>[</w:t>
      </w:r>
      <w:r w:rsidR="003A7E1E">
        <w:rPr>
          <w:rFonts w:ascii="Times New Roman" w:eastAsia="Times New Roman" w:hAnsi="Times New Roman" w:cs="Times New Roman"/>
          <w:sz w:val="24"/>
          <w:szCs w:val="24"/>
        </w:rPr>
        <w:t>33]</w:t>
      </w:r>
      <w:r w:rsidRPr="00150B9E">
        <w:rPr>
          <w:rFonts w:ascii="Times New Roman" w:eastAsia="Times New Roman" w:hAnsi="Times New Roman" w:cs="Times New Roman"/>
          <w:sz w:val="24"/>
          <w:szCs w:val="24"/>
        </w:rPr>
        <w:t xml:space="preserve">, and Simpson's Index was calculated </w:t>
      </w:r>
      <w:r w:rsidRPr="00C33E46">
        <w:rPr>
          <w:rFonts w:ascii="Times New Roman" w:eastAsia="Times New Roman" w:hAnsi="Times New Roman" w:cs="Times New Roman"/>
          <w:sz w:val="24"/>
          <w:szCs w:val="24"/>
        </w:rPr>
        <w:t xml:space="preserve">following </w:t>
      </w:r>
      <w:r w:rsidR="003A7E1E" w:rsidRPr="00C33E46">
        <w:rPr>
          <w:rFonts w:ascii="Times New Roman" w:eastAsia="Times New Roman" w:hAnsi="Times New Roman" w:cs="Times New Roman"/>
          <w:sz w:val="24"/>
          <w:szCs w:val="24"/>
        </w:rPr>
        <w:t>[</w:t>
      </w:r>
      <w:r w:rsidR="00DE603B" w:rsidRPr="00C33E46">
        <w:rPr>
          <w:rFonts w:ascii="Times New Roman" w:eastAsia="Times New Roman" w:hAnsi="Times New Roman" w:cs="Times New Roman"/>
          <w:sz w:val="24"/>
          <w:szCs w:val="24"/>
        </w:rPr>
        <w:t>32</w:t>
      </w:r>
      <w:r w:rsidR="003A7E1E" w:rsidRPr="00C33E46">
        <w:rPr>
          <w:rFonts w:ascii="Times New Roman" w:eastAsia="Times New Roman" w:hAnsi="Times New Roman" w:cs="Times New Roman"/>
          <w:sz w:val="24"/>
          <w:szCs w:val="24"/>
        </w:rPr>
        <w:t xml:space="preserve">]. </w:t>
      </w:r>
      <w:r w:rsidRPr="00C33E46">
        <w:rPr>
          <w:rFonts w:ascii="Times New Roman" w:eastAsia="Times New Roman" w:hAnsi="Times New Roman" w:cs="Times New Roman"/>
          <w:sz w:val="24"/>
          <w:szCs w:val="24"/>
        </w:rPr>
        <w:t>For comparison</w:t>
      </w:r>
      <w:r w:rsidRPr="00B6311D">
        <w:rPr>
          <w:rFonts w:ascii="Times New Roman" w:eastAsia="Times New Roman" w:hAnsi="Times New Roman" w:cs="Times New Roman"/>
          <w:sz w:val="24"/>
          <w:szCs w:val="24"/>
        </w:rPr>
        <w:t xml:space="preserve">, the </w:t>
      </w:r>
      <w:proofErr w:type="spellStart"/>
      <w:r w:rsidRPr="00B6311D">
        <w:rPr>
          <w:rFonts w:ascii="Times New Roman" w:eastAsia="Times New Roman" w:hAnsi="Times New Roman" w:cs="Times New Roman"/>
          <w:sz w:val="24"/>
          <w:szCs w:val="24"/>
        </w:rPr>
        <w:t>Wanzaye</w:t>
      </w:r>
      <w:proofErr w:type="spellEnd"/>
      <w:r w:rsidRPr="00B6311D">
        <w:rPr>
          <w:rFonts w:ascii="Times New Roman" w:eastAsia="Times New Roman" w:hAnsi="Times New Roman" w:cs="Times New Roman"/>
          <w:sz w:val="24"/>
          <w:szCs w:val="24"/>
        </w:rPr>
        <w:t xml:space="preserve"> natural forest exhibited a Shannon index of 3.15 and an evenness of 0.81 </w:t>
      </w:r>
      <w:r w:rsidR="003A7E1E" w:rsidRPr="00B6311D">
        <w:rPr>
          <w:rFonts w:ascii="Times New Roman" w:eastAsia="Times New Roman" w:hAnsi="Times New Roman" w:cs="Times New Roman"/>
          <w:sz w:val="24"/>
          <w:szCs w:val="24"/>
        </w:rPr>
        <w:t>[</w:t>
      </w:r>
      <w:r w:rsidR="00DE603B" w:rsidRPr="00B6311D">
        <w:rPr>
          <w:rFonts w:ascii="Times New Roman" w:eastAsia="Times New Roman" w:hAnsi="Times New Roman" w:cs="Times New Roman"/>
          <w:sz w:val="24"/>
          <w:szCs w:val="24"/>
        </w:rPr>
        <w:t>34</w:t>
      </w:r>
      <w:r w:rsidR="003A7E1E" w:rsidRPr="00B6311D">
        <w:rPr>
          <w:rFonts w:ascii="Times New Roman" w:eastAsia="Times New Roman" w:hAnsi="Times New Roman" w:cs="Times New Roman"/>
          <w:sz w:val="24"/>
          <w:szCs w:val="24"/>
        </w:rPr>
        <w:t xml:space="preserve">], </w:t>
      </w:r>
      <w:r w:rsidRPr="00150B9E">
        <w:rPr>
          <w:rFonts w:ascii="Times New Roman" w:eastAsia="Times New Roman" w:hAnsi="Times New Roman" w:cs="Times New Roman"/>
          <w:sz w:val="24"/>
          <w:szCs w:val="24"/>
        </w:rPr>
        <w:t xml:space="preserve">while the ice lands of Lake </w:t>
      </w:r>
      <w:proofErr w:type="spellStart"/>
      <w:r w:rsidRPr="00150B9E">
        <w:rPr>
          <w:rFonts w:ascii="Times New Roman" w:eastAsia="Times New Roman" w:hAnsi="Times New Roman" w:cs="Times New Roman"/>
          <w:sz w:val="24"/>
          <w:szCs w:val="24"/>
        </w:rPr>
        <w:t>Ziway</w:t>
      </w:r>
      <w:proofErr w:type="spellEnd"/>
      <w:r w:rsidRPr="00150B9E">
        <w:rPr>
          <w:rFonts w:ascii="Times New Roman" w:eastAsia="Times New Roman" w:hAnsi="Times New Roman" w:cs="Times New Roman"/>
          <w:sz w:val="24"/>
          <w:szCs w:val="24"/>
        </w:rPr>
        <w:t xml:space="preserve"> recorded indices of 2.60 and 0.62, respectively </w:t>
      </w:r>
      <w:r w:rsidR="003A7E1E">
        <w:rPr>
          <w:rFonts w:ascii="Times New Roman" w:eastAsia="Times New Roman" w:hAnsi="Times New Roman" w:cs="Times New Roman"/>
          <w:sz w:val="24"/>
          <w:szCs w:val="24"/>
        </w:rPr>
        <w:t>[</w:t>
      </w:r>
      <w:r w:rsidR="00DE603B">
        <w:rPr>
          <w:rFonts w:ascii="Times New Roman" w:eastAsia="Times New Roman" w:hAnsi="Times New Roman" w:cs="Times New Roman"/>
          <w:sz w:val="24"/>
          <w:szCs w:val="24"/>
        </w:rPr>
        <w:t>35</w:t>
      </w:r>
      <w:r w:rsidR="003A7E1E">
        <w:rPr>
          <w:rFonts w:ascii="Times New Roman" w:eastAsia="Times New Roman" w:hAnsi="Times New Roman" w:cs="Times New Roman"/>
          <w:sz w:val="24"/>
          <w:szCs w:val="24"/>
        </w:rPr>
        <w:t>]</w:t>
      </w:r>
      <w:r w:rsidRPr="00150B9E">
        <w:rPr>
          <w:rFonts w:ascii="Times New Roman" w:eastAsia="Times New Roman" w:hAnsi="Times New Roman" w:cs="Times New Roman"/>
          <w:sz w:val="24"/>
          <w:szCs w:val="24"/>
        </w:rPr>
        <w:t>. The higher Shannon diversity and evenness indices in the Gole Community Managed Forest can be attributed to the greater number of rare species present.</w:t>
      </w:r>
    </w:p>
    <w:p w14:paraId="5A04F8A4" w14:textId="77777777" w:rsidR="00356888" w:rsidRPr="00150B9E" w:rsidRDefault="00356888" w:rsidP="000D27B9">
      <w:pPr>
        <w:pStyle w:val="Heading3"/>
        <w:spacing w:line="360" w:lineRule="auto"/>
        <w:rPr>
          <w:sz w:val="24"/>
          <w:szCs w:val="24"/>
        </w:rPr>
      </w:pPr>
      <w:r w:rsidRPr="00150B9E">
        <w:rPr>
          <w:sz w:val="24"/>
          <w:szCs w:val="24"/>
        </w:rPr>
        <w:t>3.2 Floristic Structure</w:t>
      </w:r>
    </w:p>
    <w:p w14:paraId="0BC398AD" w14:textId="77777777" w:rsidR="00356888" w:rsidRPr="00150B9E" w:rsidRDefault="00356888" w:rsidP="000D27B9">
      <w:pPr>
        <w:pStyle w:val="Heading4"/>
        <w:spacing w:before="100" w:beforeAutospacing="1" w:after="100" w:afterAutospacing="1" w:line="360" w:lineRule="auto"/>
        <w:rPr>
          <w:rFonts w:ascii="Times New Roman" w:hAnsi="Times New Roman" w:cs="Times New Roman"/>
          <w:color w:val="auto"/>
          <w:sz w:val="24"/>
          <w:szCs w:val="24"/>
        </w:rPr>
      </w:pPr>
      <w:r w:rsidRPr="00150B9E">
        <w:rPr>
          <w:rFonts w:ascii="Times New Roman" w:hAnsi="Times New Roman" w:cs="Times New Roman"/>
          <w:color w:val="auto"/>
          <w:sz w:val="24"/>
          <w:szCs w:val="24"/>
        </w:rPr>
        <w:t>3.2.1 Density of Woody Species</w:t>
      </w:r>
    </w:p>
    <w:p w14:paraId="69C4EA4E" w14:textId="77777777" w:rsidR="00356888" w:rsidRPr="00150B9E" w:rsidRDefault="00356888" w:rsidP="000D27B9">
      <w:pPr>
        <w:pStyle w:val="NormalWeb"/>
        <w:spacing w:line="360" w:lineRule="auto"/>
        <w:jc w:val="both"/>
      </w:pPr>
      <w:r w:rsidRPr="00150B9E">
        <w:t xml:space="preserve">A total of 1,257 individuals with a Diameter at Breast Height (DBH) of </w:t>
      </w:r>
      <w:commentRangeStart w:id="14"/>
      <w:r w:rsidRPr="00150B9E">
        <w:t xml:space="preserve">1 cm </w:t>
      </w:r>
      <w:commentRangeEnd w:id="14"/>
      <w:r w:rsidR="00EA0153">
        <w:rPr>
          <w:rStyle w:val="CommentReference"/>
          <w:rFonts w:asciiTheme="minorHAnsi" w:eastAsiaTheme="minorHAnsi" w:hAnsiTheme="minorHAnsi" w:cstheme="minorBidi"/>
        </w:rPr>
        <w:commentReference w:id="14"/>
      </w:r>
      <w:r w:rsidRPr="00150B9E">
        <w:t>or greater were recorded across 47 quadrats in the Gole forest, spanning altitudinal ranges from 1,837 t</w:t>
      </w:r>
      <w:r w:rsidR="00B6311D">
        <w:t>o 2,723m.a.s.l.</w:t>
      </w:r>
      <w:r w:rsidRPr="00150B9E">
        <w:t xml:space="preserve"> within a total area of 765 hectares. Among these, 1,187 were classified as tree species, while 70 individuals belonged to shrub species. In terms of frequency, the four most prevalent tree species identified were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(272 individuals), </w:t>
      </w:r>
      <w:proofErr w:type="spellStart"/>
      <w:r w:rsidRPr="00150B9E">
        <w:rPr>
          <w:rStyle w:val="Strong"/>
          <w:b w:val="0"/>
          <w:i/>
        </w:rPr>
        <w:t>Schefflera</w:t>
      </w:r>
      <w:proofErr w:type="spellEnd"/>
      <w:r w:rsidRPr="00150B9E">
        <w:rPr>
          <w:rStyle w:val="Strong"/>
          <w:b w:val="0"/>
          <w:i/>
        </w:rPr>
        <w:t xml:space="preserve"> </w:t>
      </w:r>
      <w:proofErr w:type="spellStart"/>
      <w:r w:rsidRPr="00150B9E">
        <w:rPr>
          <w:rStyle w:val="Strong"/>
          <w:b w:val="0"/>
          <w:i/>
        </w:rPr>
        <w:t>abyssinica</w:t>
      </w:r>
      <w:proofErr w:type="spellEnd"/>
      <w:r w:rsidRPr="00150B9E">
        <w:t xml:space="preserve"> (162 individuals), </w:t>
      </w:r>
      <w:proofErr w:type="spellStart"/>
      <w:r w:rsidRPr="00150B9E">
        <w:rPr>
          <w:rStyle w:val="Strong"/>
          <w:b w:val="0"/>
          <w:i/>
        </w:rPr>
        <w:t>Ocotea</w:t>
      </w:r>
      <w:proofErr w:type="spellEnd"/>
      <w:r w:rsidRPr="00150B9E">
        <w:rPr>
          <w:rStyle w:val="Strong"/>
          <w:b w:val="0"/>
          <w:i/>
        </w:rPr>
        <w:t xml:space="preserve"> </w:t>
      </w:r>
      <w:proofErr w:type="spellStart"/>
      <w:r w:rsidRPr="00150B9E">
        <w:rPr>
          <w:rStyle w:val="Strong"/>
          <w:b w:val="0"/>
          <w:i/>
        </w:rPr>
        <w:t>kenyensis</w:t>
      </w:r>
      <w:proofErr w:type="spellEnd"/>
      <w:r w:rsidRPr="00150B9E">
        <w:t xml:space="preserve"> (137 individuals), and </w:t>
      </w:r>
      <w:r w:rsidRPr="00150B9E">
        <w:rPr>
          <w:rStyle w:val="Strong"/>
          <w:b w:val="0"/>
          <w:i/>
        </w:rPr>
        <w:t>Ilex mitis</w:t>
      </w:r>
      <w:r w:rsidRPr="00150B9E">
        <w:t xml:space="preserve"> (95 individuals). Conversely, </w:t>
      </w:r>
      <w:r w:rsidRPr="00150B9E">
        <w:rPr>
          <w:rStyle w:val="Strong"/>
          <w:b w:val="0"/>
          <w:i/>
        </w:rPr>
        <w:t xml:space="preserve">Euphorbia </w:t>
      </w:r>
      <w:proofErr w:type="spellStart"/>
      <w:r w:rsidRPr="00150B9E">
        <w:rPr>
          <w:rStyle w:val="Strong"/>
          <w:b w:val="0"/>
          <w:i/>
        </w:rPr>
        <w:t>abyssinica</w:t>
      </w:r>
      <w:proofErr w:type="spellEnd"/>
      <w:r w:rsidRPr="00150B9E">
        <w:t xml:space="preserve"> was noted as the least frequent tree species, with only one individual recorded (Table 1). Additionally, of the ten shrub species documented, </w:t>
      </w:r>
      <w:proofErr w:type="spellStart"/>
      <w:r w:rsidRPr="00150B9E">
        <w:rPr>
          <w:rStyle w:val="Strong"/>
          <w:b w:val="0"/>
          <w:i/>
        </w:rPr>
        <w:t>Geniesporum</w:t>
      </w:r>
      <w:proofErr w:type="spellEnd"/>
      <w:r w:rsidRPr="00150B9E">
        <w:rPr>
          <w:rStyle w:val="Strong"/>
          <w:b w:val="0"/>
          <w:i/>
        </w:rPr>
        <w:t xml:space="preserve"> </w:t>
      </w:r>
      <w:proofErr w:type="spellStart"/>
      <w:r w:rsidRPr="00150B9E">
        <w:rPr>
          <w:rStyle w:val="Strong"/>
          <w:b w:val="0"/>
          <w:i/>
        </w:rPr>
        <w:t>rotundifolium</w:t>
      </w:r>
      <w:proofErr w:type="spellEnd"/>
      <w:r w:rsidRPr="00150B9E">
        <w:t xml:space="preserve"> had the highest individual count (15), while </w:t>
      </w:r>
      <w:proofErr w:type="spellStart"/>
      <w:r w:rsidRPr="00150B9E">
        <w:rPr>
          <w:rStyle w:val="Strong"/>
          <w:b w:val="0"/>
          <w:i/>
        </w:rPr>
        <w:t>Phytolacca</w:t>
      </w:r>
      <w:proofErr w:type="spellEnd"/>
      <w:r w:rsidRPr="00150B9E">
        <w:rPr>
          <w:rStyle w:val="Strong"/>
          <w:b w:val="0"/>
          <w:i/>
        </w:rPr>
        <w:t xml:space="preserve"> </w:t>
      </w:r>
      <w:proofErr w:type="spellStart"/>
      <w:r w:rsidRPr="00150B9E">
        <w:rPr>
          <w:rStyle w:val="Strong"/>
          <w:b w:val="0"/>
          <w:i/>
        </w:rPr>
        <w:t>dodecandra</w:t>
      </w:r>
      <w:proofErr w:type="spellEnd"/>
      <w:r w:rsidRPr="00150B9E">
        <w:t xml:space="preserve"> had the lowest (2). The overall tree density for individuals with a DBH greater than 5 cm was calculated </w:t>
      </w:r>
      <w:bookmarkStart w:id="15" w:name="_GoBack"/>
      <w:bookmarkEnd w:id="15"/>
      <w:r w:rsidRPr="00150B9E">
        <w:t>at 385 trees per hectare (Table 1).</w:t>
      </w:r>
    </w:p>
    <w:p w14:paraId="425D9AC9" w14:textId="77777777" w:rsidR="00356888" w:rsidRPr="00150B9E" w:rsidRDefault="00356888" w:rsidP="000D27B9">
      <w:pPr>
        <w:pStyle w:val="Heading4"/>
        <w:spacing w:before="100" w:beforeAutospacing="1" w:after="100" w:afterAutospacing="1" w:line="360" w:lineRule="auto"/>
        <w:rPr>
          <w:rFonts w:ascii="Times New Roman" w:hAnsi="Times New Roman" w:cs="Times New Roman"/>
          <w:color w:val="auto"/>
          <w:sz w:val="24"/>
          <w:szCs w:val="24"/>
        </w:rPr>
      </w:pPr>
      <w:r w:rsidRPr="00150B9E">
        <w:rPr>
          <w:rFonts w:ascii="Times New Roman" w:hAnsi="Times New Roman" w:cs="Times New Roman"/>
          <w:color w:val="auto"/>
          <w:sz w:val="24"/>
          <w:szCs w:val="24"/>
        </w:rPr>
        <w:lastRenderedPageBreak/>
        <w:t>3.2.2 Frequency</w:t>
      </w:r>
    </w:p>
    <w:p w14:paraId="1C07F2CE" w14:textId="77777777" w:rsidR="00356888" w:rsidRPr="00150B9E" w:rsidRDefault="00356888" w:rsidP="000D27B9">
      <w:pPr>
        <w:pStyle w:val="NormalWeb"/>
        <w:spacing w:line="360" w:lineRule="auto"/>
      </w:pPr>
      <w:r w:rsidRPr="00150B9E">
        <w:t xml:space="preserve">Regarding frequency, the most prevalent tree species included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rPr>
          <w:b/>
          <w:i/>
        </w:rPr>
        <w:t xml:space="preserve">, </w:t>
      </w:r>
      <w:proofErr w:type="spellStart"/>
      <w:r w:rsidRPr="00150B9E">
        <w:rPr>
          <w:rStyle w:val="Strong"/>
          <w:b w:val="0"/>
          <w:i/>
        </w:rPr>
        <w:t>Schefflera</w:t>
      </w:r>
      <w:proofErr w:type="spellEnd"/>
      <w:r w:rsidRPr="00150B9E">
        <w:rPr>
          <w:rStyle w:val="Strong"/>
          <w:b w:val="0"/>
          <w:i/>
        </w:rPr>
        <w:t xml:space="preserve"> </w:t>
      </w:r>
      <w:proofErr w:type="spellStart"/>
      <w:r w:rsidRPr="00150B9E">
        <w:rPr>
          <w:rStyle w:val="Strong"/>
          <w:b w:val="0"/>
          <w:i/>
        </w:rPr>
        <w:t>abyssinica</w:t>
      </w:r>
      <w:proofErr w:type="spellEnd"/>
      <w:r w:rsidRPr="00150B9E">
        <w:rPr>
          <w:b/>
          <w:i/>
        </w:rPr>
        <w:t xml:space="preserve">, </w:t>
      </w:r>
      <w:proofErr w:type="spellStart"/>
      <w:r w:rsidRPr="00150B9E">
        <w:rPr>
          <w:rStyle w:val="Strong"/>
          <w:b w:val="0"/>
          <w:i/>
        </w:rPr>
        <w:t>Ocotea</w:t>
      </w:r>
      <w:proofErr w:type="spellEnd"/>
      <w:r w:rsidRPr="00150B9E">
        <w:rPr>
          <w:rStyle w:val="Strong"/>
          <w:b w:val="0"/>
          <w:i/>
        </w:rPr>
        <w:t xml:space="preserve"> </w:t>
      </w:r>
      <w:proofErr w:type="spellStart"/>
      <w:r w:rsidRPr="00150B9E">
        <w:rPr>
          <w:rStyle w:val="Strong"/>
          <w:b w:val="0"/>
          <w:i/>
        </w:rPr>
        <w:t>kenyensis</w:t>
      </w:r>
      <w:proofErr w:type="spellEnd"/>
      <w:r w:rsidRPr="00150B9E">
        <w:t xml:space="preserve">, and </w:t>
      </w:r>
      <w:r w:rsidRPr="00150B9E">
        <w:rPr>
          <w:rStyle w:val="Strong"/>
          <w:b w:val="0"/>
          <w:i/>
        </w:rPr>
        <w:t xml:space="preserve">Ilex </w:t>
      </w:r>
      <w:proofErr w:type="spellStart"/>
      <w:r w:rsidRPr="00150B9E">
        <w:rPr>
          <w:rStyle w:val="Strong"/>
          <w:b w:val="0"/>
          <w:i/>
        </w:rPr>
        <w:t>mitis</w:t>
      </w:r>
      <w:proofErr w:type="spellEnd"/>
      <w:r w:rsidRPr="00150B9E">
        <w:t xml:space="preserve">, with occurrence values of 272, 162, 137, and 95 individuals, respectively. </w:t>
      </w:r>
      <w:r w:rsidRPr="00150B9E">
        <w:rPr>
          <w:rStyle w:val="Strong"/>
          <w:b w:val="0"/>
          <w:i/>
        </w:rPr>
        <w:t xml:space="preserve">Euphorbia </w:t>
      </w:r>
      <w:proofErr w:type="spellStart"/>
      <w:r w:rsidRPr="00150B9E">
        <w:rPr>
          <w:rStyle w:val="Strong"/>
          <w:b w:val="0"/>
          <w:i/>
        </w:rPr>
        <w:t>abyssinica</w:t>
      </w:r>
      <w:proofErr w:type="spellEnd"/>
      <w:r w:rsidRPr="00150B9E">
        <w:rPr>
          <w:b/>
          <w:i/>
        </w:rPr>
        <w:t xml:space="preserve"> </w:t>
      </w:r>
      <w:r w:rsidRPr="00150B9E">
        <w:t xml:space="preserve">emerged as the least frequent tree species, represented by a single individual. Among the 70 individuals representing the shrub species in the study area, </w:t>
      </w:r>
      <w:proofErr w:type="spellStart"/>
      <w:r w:rsidRPr="00150B9E">
        <w:rPr>
          <w:rStyle w:val="Strong"/>
          <w:b w:val="0"/>
          <w:i/>
        </w:rPr>
        <w:t>Geniesporum</w:t>
      </w:r>
      <w:proofErr w:type="spellEnd"/>
      <w:r w:rsidRPr="00150B9E">
        <w:rPr>
          <w:rStyle w:val="Strong"/>
          <w:b w:val="0"/>
          <w:i/>
        </w:rPr>
        <w:t xml:space="preserve"> </w:t>
      </w:r>
      <w:proofErr w:type="spellStart"/>
      <w:r w:rsidRPr="00150B9E">
        <w:rPr>
          <w:rStyle w:val="Strong"/>
          <w:b w:val="0"/>
          <w:i/>
        </w:rPr>
        <w:t>rotundifolium</w:t>
      </w:r>
      <w:proofErr w:type="spellEnd"/>
      <w:r w:rsidRPr="00150B9E">
        <w:rPr>
          <w:b/>
          <w:i/>
        </w:rPr>
        <w:t xml:space="preserve"> </w:t>
      </w:r>
      <w:r w:rsidRPr="00150B9E">
        <w:t xml:space="preserve">had the highest count (15), while </w:t>
      </w:r>
      <w:proofErr w:type="spellStart"/>
      <w:r w:rsidRPr="00150B9E">
        <w:rPr>
          <w:rStyle w:val="Strong"/>
          <w:b w:val="0"/>
          <w:i/>
        </w:rPr>
        <w:t>Phytolacca</w:t>
      </w:r>
      <w:proofErr w:type="spellEnd"/>
      <w:r w:rsidRPr="00150B9E">
        <w:rPr>
          <w:rStyle w:val="Strong"/>
          <w:b w:val="0"/>
          <w:i/>
        </w:rPr>
        <w:t xml:space="preserve"> </w:t>
      </w:r>
      <w:proofErr w:type="spellStart"/>
      <w:r w:rsidRPr="00150B9E">
        <w:rPr>
          <w:rStyle w:val="Strong"/>
          <w:b w:val="0"/>
          <w:i/>
        </w:rPr>
        <w:t>dodecandra</w:t>
      </w:r>
      <w:proofErr w:type="spellEnd"/>
      <w:r w:rsidRPr="00150B9E">
        <w:t xml:space="preserve"> registered the lowest (2) (Figure 4). </w:t>
      </w:r>
    </w:p>
    <w:p w14:paraId="77FA7DE2" w14:textId="77777777" w:rsidR="00356888" w:rsidRPr="00150B9E" w:rsidRDefault="00356888" w:rsidP="000D27B9">
      <w:pPr>
        <w:pStyle w:val="NormalWeb"/>
        <w:spacing w:line="360" w:lineRule="auto"/>
        <w:jc w:val="both"/>
      </w:pPr>
      <w:r w:rsidRPr="00150B9E">
        <w:t xml:space="preserve">From the occurrence data,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accounted for 76.5% of the tree frequency, followed by </w:t>
      </w:r>
      <w:r w:rsidRPr="00150B9E">
        <w:rPr>
          <w:rStyle w:val="Strong"/>
          <w:b w:val="0"/>
          <w:i/>
        </w:rPr>
        <w:t>Ilex mitis</w:t>
      </w:r>
      <w:r w:rsidRPr="00150B9E">
        <w:t xml:space="preserve"> at 61.7% and </w:t>
      </w:r>
      <w:proofErr w:type="spellStart"/>
      <w:r w:rsidRPr="00150B9E">
        <w:rPr>
          <w:rStyle w:val="Strong"/>
          <w:b w:val="0"/>
          <w:i/>
        </w:rPr>
        <w:t>Schefflera</w:t>
      </w:r>
      <w:proofErr w:type="spellEnd"/>
      <w:r w:rsidRPr="00150B9E">
        <w:rPr>
          <w:rStyle w:val="Strong"/>
          <w:b w:val="0"/>
          <w:i/>
        </w:rPr>
        <w:t xml:space="preserve"> </w:t>
      </w:r>
      <w:proofErr w:type="spellStart"/>
      <w:r w:rsidRPr="00150B9E">
        <w:rPr>
          <w:rStyle w:val="Strong"/>
          <w:b w:val="0"/>
          <w:i/>
        </w:rPr>
        <w:t>abyssinica</w:t>
      </w:r>
      <w:proofErr w:type="spellEnd"/>
      <w:r w:rsidRPr="00150B9E">
        <w:t xml:space="preserve"> at 57.4%. In contrast, </w:t>
      </w:r>
      <w:r w:rsidRPr="00150B9E">
        <w:rPr>
          <w:rStyle w:val="Strong"/>
          <w:b w:val="0"/>
          <w:i/>
        </w:rPr>
        <w:t xml:space="preserve">Euphorbia </w:t>
      </w:r>
      <w:proofErr w:type="spellStart"/>
      <w:r w:rsidRPr="00150B9E">
        <w:rPr>
          <w:rStyle w:val="Strong"/>
          <w:b w:val="0"/>
          <w:i/>
        </w:rPr>
        <w:t>abyssinica</w:t>
      </w:r>
      <w:proofErr w:type="spellEnd"/>
      <w:r w:rsidRPr="00150B9E">
        <w:t xml:space="preserve"> had the lowest frequency of occurrence at 2.12%, appearing in only one out of the 47 plots. The frequency of occurrence for both tree and shrub species within the Gole Co</w:t>
      </w:r>
      <w:r w:rsidR="003A7E1E">
        <w:t>mmunity Forest is visualized (</w:t>
      </w:r>
      <w:r w:rsidRPr="00150B9E">
        <w:t>Figure 4</w:t>
      </w:r>
      <w:r w:rsidR="003A7E1E">
        <w:t>)</w:t>
      </w:r>
      <w:r w:rsidRPr="00150B9E">
        <w:t xml:space="preserve">, where the three most frequently occurring tree species were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(76.5%), </w:t>
      </w:r>
      <w:r w:rsidRPr="00150B9E">
        <w:rPr>
          <w:rStyle w:val="Strong"/>
          <w:b w:val="0"/>
          <w:i/>
        </w:rPr>
        <w:t>Ilex mitis</w:t>
      </w:r>
      <w:r w:rsidRPr="00150B9E">
        <w:t xml:space="preserve"> (61.7%), and </w:t>
      </w:r>
      <w:r w:rsidRPr="00150B9E">
        <w:rPr>
          <w:rStyle w:val="Strong"/>
          <w:b w:val="0"/>
          <w:i/>
        </w:rPr>
        <w:t>Olea capensis</w:t>
      </w:r>
      <w:r w:rsidRPr="00150B9E">
        <w:t xml:space="preserve"> (57.4%). Conversely, </w:t>
      </w:r>
      <w:r w:rsidRPr="00150B9E">
        <w:rPr>
          <w:rStyle w:val="Strong"/>
          <w:b w:val="0"/>
          <w:i/>
        </w:rPr>
        <w:t xml:space="preserve">Euphorbia </w:t>
      </w:r>
      <w:proofErr w:type="spellStart"/>
      <w:r w:rsidRPr="00150B9E">
        <w:rPr>
          <w:rStyle w:val="Strong"/>
          <w:b w:val="0"/>
          <w:i/>
        </w:rPr>
        <w:t>abyssinica</w:t>
      </w:r>
      <w:proofErr w:type="spellEnd"/>
      <w:r w:rsidRPr="00150B9E">
        <w:t xml:space="preserve"> had the lowest occurrence at 2.12% (Figure 4).</w:t>
      </w:r>
    </w:p>
    <w:p w14:paraId="5FBC3804" w14:textId="77777777" w:rsidR="00356888" w:rsidRPr="00150B9E" w:rsidRDefault="00356888" w:rsidP="000D27B9">
      <w:pPr>
        <w:tabs>
          <w:tab w:val="left" w:pos="1965"/>
        </w:tabs>
        <w:spacing w:before="100" w:beforeAutospacing="1" w:after="100" w:afterAutospacing="1" w:line="360" w:lineRule="auto"/>
        <w:jc w:val="both"/>
        <w:rPr>
          <w:rFonts w:ascii="Times New Roman" w:eastAsiaTheme="minorEastAsia" w:hAnsi="Times New Roman" w:cs="Times New Roman"/>
          <w:sz w:val="24"/>
          <w:szCs w:val="24"/>
        </w:rPr>
      </w:pPr>
    </w:p>
    <w:p w14:paraId="52BDE777" w14:textId="77777777" w:rsidR="00356888" w:rsidRPr="00150B9E" w:rsidRDefault="00356888" w:rsidP="000D27B9">
      <w:pPr>
        <w:tabs>
          <w:tab w:val="left" w:pos="1965"/>
        </w:tabs>
        <w:spacing w:before="100" w:beforeAutospacing="1" w:after="100" w:afterAutospacing="1" w:line="360" w:lineRule="auto"/>
        <w:jc w:val="both"/>
        <w:rPr>
          <w:rFonts w:ascii="Times New Roman" w:eastAsiaTheme="minorEastAsia" w:hAnsi="Times New Roman" w:cs="Times New Roman"/>
          <w:sz w:val="24"/>
          <w:szCs w:val="24"/>
        </w:rPr>
      </w:pPr>
      <w:r w:rsidRPr="00150B9E">
        <w:rPr>
          <w:rFonts w:ascii="Times New Roman" w:eastAsiaTheme="minorEastAsia" w:hAnsi="Times New Roman" w:cs="Times New Roman"/>
          <w:noProof/>
          <w:sz w:val="24"/>
          <w:szCs w:val="24"/>
        </w:rPr>
        <w:drawing>
          <wp:inline distT="0" distB="0" distL="0" distR="0" wp14:anchorId="611125B1" wp14:editId="69DFD5B5">
            <wp:extent cx="5930900" cy="3086100"/>
            <wp:effectExtent l="0" t="0" r="1270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659D4A" w14:textId="77777777" w:rsidR="00356888" w:rsidRPr="00150B9E" w:rsidRDefault="00356888" w:rsidP="000D27B9">
      <w:pPr>
        <w:tabs>
          <w:tab w:val="left" w:pos="1965"/>
        </w:tabs>
        <w:spacing w:before="100" w:beforeAutospacing="1" w:after="100" w:afterAutospacing="1" w:line="360" w:lineRule="auto"/>
        <w:jc w:val="both"/>
        <w:rPr>
          <w:rFonts w:ascii="Times New Roman" w:eastAsiaTheme="minorEastAsia" w:hAnsi="Times New Roman" w:cs="Times New Roman"/>
          <w:sz w:val="24"/>
          <w:szCs w:val="24"/>
        </w:rPr>
      </w:pPr>
      <w:r w:rsidRPr="00150B9E">
        <w:rPr>
          <w:rFonts w:ascii="Times New Roman" w:eastAsiaTheme="minorEastAsia" w:hAnsi="Times New Roman" w:cs="Times New Roman"/>
          <w:sz w:val="24"/>
          <w:szCs w:val="24"/>
        </w:rPr>
        <w:t xml:space="preserve">Figure 4: Frequency of occurrence of tree species in the </w:t>
      </w:r>
      <w:commentRangeStart w:id="16"/>
      <w:r w:rsidRPr="00150B9E">
        <w:rPr>
          <w:rFonts w:ascii="Times New Roman" w:eastAsiaTheme="minorEastAsia" w:hAnsi="Times New Roman" w:cs="Times New Roman"/>
          <w:sz w:val="24"/>
          <w:szCs w:val="24"/>
        </w:rPr>
        <w:t>forest</w:t>
      </w:r>
      <w:commentRangeEnd w:id="16"/>
      <w:r w:rsidR="00B84118">
        <w:rPr>
          <w:rStyle w:val="CommentReference"/>
        </w:rPr>
        <w:commentReference w:id="16"/>
      </w:r>
      <w:r w:rsidRPr="00150B9E">
        <w:rPr>
          <w:rFonts w:ascii="Times New Roman" w:eastAsiaTheme="minorEastAsia" w:hAnsi="Times New Roman" w:cs="Times New Roman"/>
          <w:sz w:val="24"/>
          <w:szCs w:val="24"/>
        </w:rPr>
        <w:t xml:space="preserve"> </w:t>
      </w:r>
    </w:p>
    <w:p w14:paraId="075010A7" w14:textId="77777777" w:rsidR="00356888" w:rsidRPr="00150B9E" w:rsidRDefault="00356888" w:rsidP="000D27B9">
      <w:pPr>
        <w:tabs>
          <w:tab w:val="left" w:pos="1965"/>
        </w:tabs>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lastRenderedPageBreak/>
        <w:t xml:space="preserve">Regarding, shrub species, </w:t>
      </w:r>
      <w:proofErr w:type="spellStart"/>
      <w:r w:rsidRPr="00150B9E">
        <w:rPr>
          <w:rFonts w:ascii="Times New Roman" w:hAnsi="Times New Roman" w:cs="Times New Roman"/>
          <w:i/>
          <w:sz w:val="24"/>
          <w:szCs w:val="24"/>
        </w:rPr>
        <w:t>Embelia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schimper</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(14.89%) (Appeared in 7 plots) and </w:t>
      </w:r>
      <w:proofErr w:type="spellStart"/>
      <w:r w:rsidRPr="00150B9E">
        <w:rPr>
          <w:rFonts w:ascii="Times New Roman" w:hAnsi="Times New Roman" w:cs="Times New Roman"/>
          <w:i/>
          <w:sz w:val="24"/>
          <w:szCs w:val="24"/>
        </w:rPr>
        <w:t>Geniesporum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rotundifoli</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10.6% (appeared in 5 plots) were the top two frequently appeared shrub species whereas. The three most abundant woody plant species in the forest were </w:t>
      </w:r>
      <w:proofErr w:type="spellStart"/>
      <w:r w:rsidRPr="00150B9E">
        <w:rPr>
          <w:rFonts w:ascii="Times New Roman" w:hAnsi="Times New Roman" w:cs="Times New Roman"/>
          <w:i/>
          <w:sz w:val="24"/>
          <w:szCs w:val="24"/>
        </w:rPr>
        <w:t>Syzigium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guineese</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Ocotea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kenyensis</w:t>
      </w:r>
      <w:proofErr w:type="spellEnd"/>
      <w:r w:rsidRPr="00150B9E">
        <w:rPr>
          <w:rFonts w:ascii="Times New Roman" w:hAnsi="Times New Roman" w:cs="Times New Roman"/>
          <w:sz w:val="24"/>
          <w:szCs w:val="24"/>
        </w:rPr>
        <w:t xml:space="preserve"> and </w:t>
      </w:r>
      <w:proofErr w:type="spellStart"/>
      <w:r w:rsidRPr="00150B9E">
        <w:rPr>
          <w:rFonts w:ascii="Times New Roman" w:hAnsi="Times New Roman" w:cs="Times New Roman"/>
          <w:i/>
          <w:sz w:val="24"/>
          <w:szCs w:val="24"/>
        </w:rPr>
        <w:t>Schefflera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abyssinica</w:t>
      </w:r>
      <w:proofErr w:type="spellEnd"/>
      <w:r w:rsidRPr="00150B9E">
        <w:rPr>
          <w:rFonts w:ascii="Times New Roman" w:hAnsi="Times New Roman" w:cs="Times New Roman"/>
          <w:sz w:val="24"/>
          <w:szCs w:val="24"/>
        </w:rPr>
        <w:t xml:space="preserve">. </w:t>
      </w:r>
      <w:proofErr w:type="spellStart"/>
      <w:r w:rsidRPr="00150B9E">
        <w:rPr>
          <w:rFonts w:ascii="Times New Roman" w:hAnsi="Times New Roman" w:cs="Times New Roman"/>
          <w:i/>
          <w:sz w:val="24"/>
          <w:szCs w:val="24"/>
        </w:rPr>
        <w:t>Schefflera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volkensii</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Schefflera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abyssinica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Ocotea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kenyensis</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and </w:t>
      </w:r>
      <w:r w:rsidRPr="00150B9E">
        <w:rPr>
          <w:rStyle w:val="Emphasis"/>
          <w:rFonts w:ascii="Times New Roman" w:hAnsi="Times New Roman" w:cs="Times New Roman"/>
          <w:bCs/>
          <w:color w:val="333333"/>
          <w:sz w:val="24"/>
          <w:szCs w:val="24"/>
        </w:rPr>
        <w:t xml:space="preserve">Ilex </w:t>
      </w:r>
      <w:proofErr w:type="spellStart"/>
      <w:r w:rsidRPr="00150B9E">
        <w:rPr>
          <w:rStyle w:val="Emphasis"/>
          <w:rFonts w:ascii="Times New Roman" w:hAnsi="Times New Roman" w:cs="Times New Roman"/>
          <w:bCs/>
          <w:color w:val="333333"/>
          <w:sz w:val="24"/>
          <w:szCs w:val="24"/>
        </w:rPr>
        <w:t>mitis</w:t>
      </w:r>
      <w:proofErr w:type="spellEnd"/>
      <w:r w:rsidRPr="00150B9E">
        <w:rPr>
          <w:rStyle w:val="Emphasis"/>
          <w:rFonts w:ascii="Times New Roman" w:hAnsi="Times New Roman" w:cs="Times New Roman"/>
          <w:bCs/>
          <w:color w:val="333333"/>
          <w:sz w:val="24"/>
          <w:szCs w:val="24"/>
        </w:rPr>
        <w:t xml:space="preserve"> were </w:t>
      </w:r>
      <w:r w:rsidRPr="00150B9E">
        <w:rPr>
          <w:rFonts w:ascii="Times New Roman" w:hAnsi="Times New Roman" w:cs="Times New Roman"/>
          <w:sz w:val="24"/>
          <w:szCs w:val="24"/>
        </w:rPr>
        <w:t xml:space="preserve">four most dominant woody plant species in the forest. </w:t>
      </w:r>
      <w:r w:rsidRPr="00150B9E">
        <w:rPr>
          <w:rFonts w:ascii="Times New Roman" w:hAnsi="Times New Roman" w:cs="Times New Roman"/>
          <w:i/>
          <w:sz w:val="24"/>
          <w:szCs w:val="24"/>
        </w:rPr>
        <w:t xml:space="preserve">Acanthus </w:t>
      </w:r>
      <w:proofErr w:type="spellStart"/>
      <w:r w:rsidRPr="00150B9E">
        <w:rPr>
          <w:rFonts w:ascii="Times New Roman" w:hAnsi="Times New Roman" w:cs="Times New Roman"/>
          <w:i/>
          <w:sz w:val="24"/>
          <w:szCs w:val="24"/>
        </w:rPr>
        <w:t>sennii</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Ricinus</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communis</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and </w:t>
      </w:r>
      <w:proofErr w:type="spellStart"/>
      <w:r w:rsidRPr="00150B9E">
        <w:rPr>
          <w:rFonts w:ascii="Times New Roman" w:hAnsi="Times New Roman" w:cs="Times New Roman"/>
          <w:i/>
          <w:sz w:val="24"/>
          <w:szCs w:val="24"/>
        </w:rPr>
        <w:t>Phytolacca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dodecandra</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(4.25%) were the least </w:t>
      </w:r>
      <w:r w:rsidR="003A7E1E">
        <w:rPr>
          <w:rFonts w:ascii="Times New Roman" w:hAnsi="Times New Roman" w:cs="Times New Roman"/>
          <w:sz w:val="24"/>
          <w:szCs w:val="24"/>
        </w:rPr>
        <w:t>appeared in 2 plots (F</w:t>
      </w:r>
      <w:r w:rsidRPr="00150B9E">
        <w:rPr>
          <w:rFonts w:ascii="Times New Roman" w:hAnsi="Times New Roman" w:cs="Times New Roman"/>
          <w:sz w:val="24"/>
          <w:szCs w:val="24"/>
        </w:rPr>
        <w:t xml:space="preserve">igure 5). </w:t>
      </w:r>
    </w:p>
    <w:p w14:paraId="259B984F" w14:textId="77777777" w:rsidR="00356888" w:rsidRPr="00150B9E" w:rsidRDefault="00356888" w:rsidP="000D27B9">
      <w:pPr>
        <w:tabs>
          <w:tab w:val="left" w:pos="1965"/>
        </w:tabs>
        <w:spacing w:before="100" w:beforeAutospacing="1" w:after="100" w:afterAutospacing="1" w:line="360" w:lineRule="auto"/>
        <w:jc w:val="center"/>
        <w:rPr>
          <w:rFonts w:ascii="Times New Roman" w:hAnsi="Times New Roman" w:cs="Times New Roman"/>
          <w:sz w:val="24"/>
          <w:szCs w:val="24"/>
          <w:highlight w:val="yellow"/>
        </w:rPr>
      </w:pPr>
      <w:r w:rsidRPr="00150B9E">
        <w:rPr>
          <w:rFonts w:ascii="Times New Roman" w:hAnsi="Times New Roman" w:cs="Times New Roman"/>
          <w:noProof/>
          <w:sz w:val="24"/>
          <w:szCs w:val="24"/>
        </w:rPr>
        <w:drawing>
          <wp:inline distT="0" distB="0" distL="0" distR="0" wp14:anchorId="4B167BDC" wp14:editId="389A9178">
            <wp:extent cx="5365750" cy="3683000"/>
            <wp:effectExtent l="0" t="0" r="254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2EC6AB" w14:textId="77777777" w:rsidR="00153EE8" w:rsidRPr="00150B9E" w:rsidRDefault="00356888" w:rsidP="000D27B9">
      <w:pPr>
        <w:tabs>
          <w:tab w:val="left" w:pos="1965"/>
        </w:tabs>
        <w:spacing w:before="100" w:beforeAutospacing="1" w:after="100" w:afterAutospacing="1" w:line="360" w:lineRule="auto"/>
        <w:jc w:val="both"/>
        <w:rPr>
          <w:rFonts w:ascii="Times New Roman" w:hAnsi="Times New Roman" w:cs="Times New Roman"/>
          <w:sz w:val="24"/>
          <w:szCs w:val="24"/>
          <w:highlight w:val="yellow"/>
        </w:rPr>
      </w:pPr>
      <w:r w:rsidRPr="00150B9E">
        <w:rPr>
          <w:rFonts w:ascii="Times New Roman" w:hAnsi="Times New Roman" w:cs="Times New Roman"/>
          <w:sz w:val="24"/>
          <w:szCs w:val="24"/>
        </w:rPr>
        <w:t xml:space="preserve">Figure 5: Frequency of occurrence of shrub species in the </w:t>
      </w:r>
      <w:proofErr w:type="spellStart"/>
      <w:r w:rsidRPr="00150B9E">
        <w:rPr>
          <w:rFonts w:ascii="Times New Roman" w:hAnsi="Times New Roman" w:cs="Times New Roman"/>
          <w:sz w:val="24"/>
          <w:szCs w:val="24"/>
        </w:rPr>
        <w:t>Gole</w:t>
      </w:r>
      <w:proofErr w:type="spellEnd"/>
      <w:r w:rsidRPr="00150B9E">
        <w:rPr>
          <w:rFonts w:ascii="Times New Roman" w:hAnsi="Times New Roman" w:cs="Times New Roman"/>
          <w:sz w:val="24"/>
          <w:szCs w:val="24"/>
        </w:rPr>
        <w:t xml:space="preserve"> Community Managed </w:t>
      </w:r>
      <w:commentRangeStart w:id="17"/>
      <w:r w:rsidRPr="00150B9E">
        <w:rPr>
          <w:rFonts w:ascii="Times New Roman" w:hAnsi="Times New Roman" w:cs="Times New Roman"/>
          <w:sz w:val="24"/>
          <w:szCs w:val="24"/>
        </w:rPr>
        <w:t>Forest</w:t>
      </w:r>
      <w:commentRangeEnd w:id="17"/>
      <w:r w:rsidR="00B84118">
        <w:rPr>
          <w:rStyle w:val="CommentReference"/>
        </w:rPr>
        <w:commentReference w:id="17"/>
      </w:r>
    </w:p>
    <w:p w14:paraId="66888242" w14:textId="77777777" w:rsidR="00356888" w:rsidRPr="00150B9E" w:rsidRDefault="00356888" w:rsidP="000D27B9">
      <w:pPr>
        <w:pStyle w:val="Heading3"/>
        <w:spacing w:line="360" w:lineRule="auto"/>
        <w:jc w:val="both"/>
        <w:rPr>
          <w:sz w:val="24"/>
          <w:szCs w:val="24"/>
        </w:rPr>
      </w:pPr>
      <w:r w:rsidRPr="00150B9E">
        <w:rPr>
          <w:sz w:val="24"/>
          <w:szCs w:val="24"/>
        </w:rPr>
        <w:t>3.2.3 DBH and Height Class Distribution</w:t>
      </w:r>
    </w:p>
    <w:p w14:paraId="1DFA0CA6" w14:textId="77777777" w:rsidR="00356888" w:rsidRPr="00150B9E" w:rsidRDefault="00356888" w:rsidP="000D27B9">
      <w:pPr>
        <w:pStyle w:val="NormalWeb"/>
        <w:spacing w:line="360" w:lineRule="auto"/>
        <w:jc w:val="both"/>
      </w:pPr>
      <w:r w:rsidRPr="00150B9E">
        <w:t>In this study, the Diameter at Breast Height (DBH) of trees was categorized into nine distinct classes: 1≤ cm, ≥5-20 cm, &gt;20-40 cm, &gt;40–60 cm, &gt;60–80 cm, &gt;80–100 cm, &gt;100–120 cm, &gt;120-140 cm,</w:t>
      </w:r>
      <w:r w:rsidR="003A7E1E">
        <w:t xml:space="preserve"> and &gt;140 cm. As illustrated (</w:t>
      </w:r>
      <w:r w:rsidRPr="00150B9E">
        <w:t>Figure 6</w:t>
      </w:r>
      <w:r w:rsidR="003A7E1E">
        <w:t>)</w:t>
      </w:r>
      <w:r w:rsidRPr="00150B9E">
        <w:t xml:space="preserve">, approximately 51.3% (609 stems per hectare) of the individuals fall within the first two DBH classes. The remaining seven classes collectively account for 48.7% of the total individuals observed. The species with the highest </w:t>
      </w:r>
      <w:r w:rsidRPr="00150B9E">
        <w:lastRenderedPageBreak/>
        <w:t xml:space="preserve">mean DBH in the study area was </w:t>
      </w:r>
      <w:r w:rsidRPr="00150B9E">
        <w:rPr>
          <w:i/>
        </w:rPr>
        <w:t xml:space="preserve">Euphorbia </w:t>
      </w:r>
      <w:proofErr w:type="spellStart"/>
      <w:r w:rsidRPr="00150B9E">
        <w:rPr>
          <w:i/>
        </w:rPr>
        <w:t>abyssinica</w:t>
      </w:r>
      <w:proofErr w:type="spellEnd"/>
      <w:r w:rsidRPr="00150B9E">
        <w:rPr>
          <w:i/>
        </w:rPr>
        <w:t xml:space="preserve"> J.F. </w:t>
      </w:r>
      <w:proofErr w:type="spellStart"/>
      <w:r w:rsidRPr="00150B9E">
        <w:rPr>
          <w:i/>
        </w:rPr>
        <w:t>Gmel</w:t>
      </w:r>
      <w:proofErr w:type="spellEnd"/>
      <w:r w:rsidRPr="00150B9E">
        <w:t xml:space="preserve">, which recorded an average DBH of 78.0 cm. It was followed by </w:t>
      </w:r>
      <w:proofErr w:type="spellStart"/>
      <w:r w:rsidRPr="00150B9E">
        <w:rPr>
          <w:i/>
        </w:rPr>
        <w:t>Flacourtia</w:t>
      </w:r>
      <w:proofErr w:type="spellEnd"/>
      <w:r w:rsidRPr="00150B9E">
        <w:rPr>
          <w:i/>
        </w:rPr>
        <w:t xml:space="preserve"> </w:t>
      </w:r>
      <w:proofErr w:type="spellStart"/>
      <w:r w:rsidRPr="00150B9E">
        <w:rPr>
          <w:i/>
        </w:rPr>
        <w:t>indica</w:t>
      </w:r>
      <w:proofErr w:type="spellEnd"/>
      <w:r w:rsidRPr="00150B9E">
        <w:rPr>
          <w:i/>
        </w:rPr>
        <w:t xml:space="preserve"> (</w:t>
      </w:r>
      <w:proofErr w:type="spellStart"/>
      <w:r w:rsidRPr="00150B9E">
        <w:rPr>
          <w:i/>
        </w:rPr>
        <w:t>Burm</w:t>
      </w:r>
      <w:proofErr w:type="spellEnd"/>
      <w:r w:rsidRPr="00150B9E">
        <w:rPr>
          <w:i/>
        </w:rPr>
        <w:t xml:space="preserve">. f.) </w:t>
      </w:r>
      <w:proofErr w:type="spellStart"/>
      <w:r w:rsidRPr="00150B9E">
        <w:rPr>
          <w:i/>
        </w:rPr>
        <w:t>Merr</w:t>
      </w:r>
      <w:proofErr w:type="spellEnd"/>
      <w:r w:rsidRPr="00150B9E">
        <w:rPr>
          <w:i/>
        </w:rPr>
        <w:t xml:space="preserve"> and Ilex </w:t>
      </w:r>
      <w:proofErr w:type="spellStart"/>
      <w:r w:rsidRPr="00150B9E">
        <w:rPr>
          <w:i/>
        </w:rPr>
        <w:t>mitis</w:t>
      </w:r>
      <w:proofErr w:type="spellEnd"/>
      <w:r w:rsidRPr="00150B9E">
        <w:rPr>
          <w:i/>
        </w:rPr>
        <w:t xml:space="preserve"> (L.) </w:t>
      </w:r>
      <w:proofErr w:type="spellStart"/>
      <w:r w:rsidRPr="00150B9E">
        <w:rPr>
          <w:i/>
        </w:rPr>
        <w:t>Radlk</w:t>
      </w:r>
      <w:proofErr w:type="spellEnd"/>
      <w:r w:rsidRPr="00150B9E">
        <w:rPr>
          <w:i/>
        </w:rPr>
        <w:t>,</w:t>
      </w:r>
      <w:r w:rsidRPr="00150B9E">
        <w:t xml:space="preserve"> which had average DBH values of 70.57 cm and 69.58 cm, respectively. On the other end of the spectrum, the species with the lowest mean DBH was </w:t>
      </w:r>
      <w:proofErr w:type="spellStart"/>
      <w:r w:rsidRPr="00150B9E">
        <w:rPr>
          <w:i/>
        </w:rPr>
        <w:t>Pittosporum</w:t>
      </w:r>
      <w:proofErr w:type="spellEnd"/>
      <w:r w:rsidRPr="00150B9E">
        <w:rPr>
          <w:i/>
        </w:rPr>
        <w:t xml:space="preserve"> </w:t>
      </w:r>
      <w:proofErr w:type="spellStart"/>
      <w:r w:rsidRPr="00150B9E">
        <w:rPr>
          <w:i/>
        </w:rPr>
        <w:t>viridiflorum</w:t>
      </w:r>
      <w:proofErr w:type="spellEnd"/>
      <w:r w:rsidRPr="00150B9E">
        <w:t xml:space="preserve"> </w:t>
      </w:r>
      <w:r w:rsidRPr="00150B9E">
        <w:rPr>
          <w:i/>
        </w:rPr>
        <w:t>Sims</w:t>
      </w:r>
      <w:r w:rsidRPr="00150B9E">
        <w:t xml:space="preserve">, with a mean value of 22.20 cm, and </w:t>
      </w:r>
      <w:proofErr w:type="spellStart"/>
      <w:r w:rsidRPr="00150B9E">
        <w:rPr>
          <w:i/>
        </w:rPr>
        <w:t>Triumfetta</w:t>
      </w:r>
      <w:proofErr w:type="spellEnd"/>
      <w:r w:rsidRPr="00150B9E">
        <w:rPr>
          <w:i/>
        </w:rPr>
        <w:t xml:space="preserve"> </w:t>
      </w:r>
      <w:proofErr w:type="spellStart"/>
      <w:r w:rsidRPr="00150B9E">
        <w:rPr>
          <w:i/>
        </w:rPr>
        <w:t>heterocarpa</w:t>
      </w:r>
      <w:proofErr w:type="spellEnd"/>
      <w:r w:rsidRPr="00150B9E">
        <w:t xml:space="preserve"> Sprague &amp; Hutch, which had a mean DBH of 24.72 cm.</w:t>
      </w:r>
    </w:p>
    <w:p w14:paraId="1CC3FAA6" w14:textId="77777777" w:rsidR="00E43B7D" w:rsidRPr="00150B9E" w:rsidRDefault="00E43B7D" w:rsidP="000D27B9">
      <w:pPr>
        <w:spacing w:before="100" w:beforeAutospacing="1" w:after="100" w:afterAutospacing="1" w:line="360" w:lineRule="auto"/>
        <w:jc w:val="center"/>
        <w:rPr>
          <w:rStyle w:val="Heading1Char"/>
          <w:rFonts w:ascii="Times New Roman" w:hAnsi="Times New Roman" w:cs="Times New Roman"/>
          <w:sz w:val="24"/>
          <w:szCs w:val="24"/>
        </w:rPr>
      </w:pPr>
      <w:r w:rsidRPr="00150B9E">
        <w:rPr>
          <w:rFonts w:ascii="Times New Roman" w:hAnsi="Times New Roman" w:cs="Times New Roman"/>
          <w:noProof/>
          <w:sz w:val="24"/>
          <w:szCs w:val="24"/>
        </w:rPr>
        <w:drawing>
          <wp:inline distT="0" distB="0" distL="0" distR="0" wp14:anchorId="1CCB8DAD" wp14:editId="4806DA99">
            <wp:extent cx="5238750" cy="25527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18" w:name="_Toc17509110"/>
      <w:bookmarkStart w:id="19" w:name="_Toc17509743"/>
    </w:p>
    <w:p w14:paraId="25736A94" w14:textId="77777777" w:rsidR="00E43B7D" w:rsidRPr="00150B9E" w:rsidRDefault="00E43B7D" w:rsidP="000D27B9">
      <w:pPr>
        <w:spacing w:before="100" w:beforeAutospacing="1" w:after="100" w:afterAutospacing="1" w:line="360" w:lineRule="auto"/>
        <w:rPr>
          <w:rFonts w:ascii="Times New Roman" w:eastAsiaTheme="majorEastAsia" w:hAnsi="Times New Roman" w:cs="Times New Roman"/>
          <w:bCs/>
          <w:color w:val="365F91" w:themeColor="accent1" w:themeShade="BF"/>
          <w:sz w:val="24"/>
          <w:szCs w:val="24"/>
        </w:rPr>
      </w:pPr>
      <w:r w:rsidRPr="00150B9E">
        <w:rPr>
          <w:rStyle w:val="Heading1Char"/>
          <w:rFonts w:ascii="Times New Roman" w:hAnsi="Times New Roman" w:cs="Times New Roman"/>
          <w:sz w:val="24"/>
          <w:szCs w:val="24"/>
        </w:rPr>
        <w:t xml:space="preserve">     Figure 6: Diameter distribution of tree species in the forest</w:t>
      </w:r>
      <w:bookmarkEnd w:id="18"/>
      <w:bookmarkEnd w:id="19"/>
    </w:p>
    <w:p w14:paraId="57CC730D" w14:textId="77777777" w:rsidR="00356888" w:rsidRPr="00150B9E" w:rsidRDefault="00E43B7D" w:rsidP="000D27B9">
      <w:pPr>
        <w:tabs>
          <w:tab w:val="left" w:pos="1965"/>
        </w:tabs>
        <w:spacing w:before="100" w:beforeAutospacing="1" w:after="100" w:afterAutospacing="1" w:line="360" w:lineRule="auto"/>
        <w:jc w:val="both"/>
        <w:rPr>
          <w:rFonts w:ascii="Times New Roman" w:hAnsi="Times New Roman" w:cs="Times New Roman"/>
          <w:sz w:val="24"/>
          <w:szCs w:val="24"/>
          <w:highlight w:val="yellow"/>
        </w:rPr>
      </w:pPr>
      <w:r w:rsidRPr="00150B9E">
        <w:rPr>
          <w:rFonts w:ascii="Times New Roman" w:hAnsi="Times New Roman" w:cs="Times New Roman"/>
          <w:sz w:val="24"/>
          <w:szCs w:val="24"/>
        </w:rPr>
        <w:t xml:space="preserve">The height measurements were categorized into six classes: 1-&lt;5m, ≥5–15m, &gt;15–25m, &gt;25–35m, &gt;35–45m, and &gt;45m. Among these, the height class 1-&lt;5m exhibited the highest density of trees, comprising 40.8% (485 stems per hectare), closely followed by the ≥5–15m class at 39.2% (465 stems </w:t>
      </w:r>
      <w:r w:rsidR="003A7E1E">
        <w:rPr>
          <w:rFonts w:ascii="Times New Roman" w:hAnsi="Times New Roman" w:cs="Times New Roman"/>
          <w:sz w:val="24"/>
          <w:szCs w:val="24"/>
        </w:rPr>
        <w:t>per hectare), as illustrated (</w:t>
      </w:r>
      <w:r w:rsidRPr="00150B9E">
        <w:rPr>
          <w:rFonts w:ascii="Times New Roman" w:hAnsi="Times New Roman" w:cs="Times New Roman"/>
          <w:sz w:val="24"/>
          <w:szCs w:val="24"/>
        </w:rPr>
        <w:t>Figure 7</w:t>
      </w:r>
      <w:r w:rsidR="003A7E1E">
        <w:rPr>
          <w:rFonts w:ascii="Times New Roman" w:hAnsi="Times New Roman" w:cs="Times New Roman"/>
          <w:sz w:val="24"/>
          <w:szCs w:val="24"/>
        </w:rPr>
        <w:t>)</w:t>
      </w:r>
      <w:r w:rsidRPr="00150B9E">
        <w:rPr>
          <w:rFonts w:ascii="Times New Roman" w:hAnsi="Times New Roman" w:cs="Times New Roman"/>
          <w:sz w:val="24"/>
          <w:szCs w:val="24"/>
        </w:rPr>
        <w:t>. The density distribution of woody individuals across different height classes displayed a bell-shaped pattern, indicating a frequency distribution where the number of individuals peaked in the middle height classes and decreased towards the lower and upper extremes. This pattern suggests a greater abundance of individuals in the intermediate size range, with a gradual decline in density as height increases or decreases. Overall, the data reveal that the largest number of individual trees was found in height class 1, with 485 stems per hectare (40.8%). Additionally, the distribution of diameter and height across all individuals followed an inverted J-shape, indicating that the majority of species had the highest representation in the lower diameter and height classes.</w:t>
      </w:r>
    </w:p>
    <w:p w14:paraId="596697E8" w14:textId="77777777" w:rsidR="00E43B7D" w:rsidRPr="00150B9E" w:rsidRDefault="00E43B7D" w:rsidP="000D27B9">
      <w:pPr>
        <w:tabs>
          <w:tab w:val="left" w:pos="1965"/>
        </w:tabs>
        <w:spacing w:before="100" w:beforeAutospacing="1" w:after="100" w:afterAutospacing="1" w:line="360" w:lineRule="auto"/>
        <w:jc w:val="center"/>
        <w:rPr>
          <w:rFonts w:ascii="Times New Roman" w:hAnsi="Times New Roman" w:cs="Times New Roman"/>
          <w:b/>
          <w:sz w:val="24"/>
          <w:szCs w:val="24"/>
        </w:rPr>
      </w:pPr>
      <w:r w:rsidRPr="00150B9E">
        <w:rPr>
          <w:rFonts w:ascii="Times New Roman" w:hAnsi="Times New Roman" w:cs="Times New Roman"/>
          <w:noProof/>
          <w:sz w:val="24"/>
          <w:szCs w:val="24"/>
        </w:rPr>
        <w:lastRenderedPageBreak/>
        <w:drawing>
          <wp:inline distT="0" distB="0" distL="0" distR="0" wp14:anchorId="49FCF4A0" wp14:editId="08417E30">
            <wp:extent cx="5219700" cy="238125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0" w:name="_Toc17509112"/>
      <w:bookmarkStart w:id="21" w:name="_Toc17509745"/>
      <w:bookmarkStart w:id="22" w:name="_Toc24612948"/>
      <w:bookmarkStart w:id="23" w:name="_Toc24616459"/>
      <w:bookmarkStart w:id="24" w:name="_Toc24619966"/>
    </w:p>
    <w:p w14:paraId="4FDE857C" w14:textId="77777777" w:rsidR="00E43B7D" w:rsidRPr="00150B9E" w:rsidRDefault="00E43B7D" w:rsidP="000D27B9">
      <w:pPr>
        <w:tabs>
          <w:tab w:val="left" w:pos="1965"/>
        </w:tabs>
        <w:spacing w:before="100" w:beforeAutospacing="1" w:after="100" w:afterAutospacing="1" w:line="360" w:lineRule="auto"/>
        <w:jc w:val="center"/>
        <w:rPr>
          <w:rFonts w:ascii="Times New Roman" w:hAnsi="Times New Roman" w:cs="Times New Roman"/>
          <w:b/>
          <w:sz w:val="24"/>
          <w:szCs w:val="24"/>
        </w:rPr>
      </w:pPr>
      <w:r w:rsidRPr="00150B9E">
        <w:rPr>
          <w:rFonts w:ascii="Times New Roman" w:hAnsi="Times New Roman" w:cs="Times New Roman"/>
          <w:sz w:val="24"/>
          <w:szCs w:val="24"/>
        </w:rPr>
        <w:t>Figure 7: Height distribution of tree species the forest</w:t>
      </w:r>
      <w:bookmarkEnd w:id="20"/>
      <w:bookmarkEnd w:id="21"/>
      <w:bookmarkEnd w:id="22"/>
      <w:bookmarkEnd w:id="23"/>
      <w:bookmarkEnd w:id="24"/>
    </w:p>
    <w:p w14:paraId="26B3B699" w14:textId="77777777" w:rsidR="00E43B7D" w:rsidRPr="00150B9E" w:rsidRDefault="00E43B7D" w:rsidP="000D27B9">
      <w:pPr>
        <w:spacing w:before="100" w:beforeAutospacing="1" w:after="100" w:afterAutospacing="1" w:line="360" w:lineRule="auto"/>
        <w:jc w:val="both"/>
        <w:rPr>
          <w:rFonts w:ascii="Times New Roman" w:hAnsi="Times New Roman" w:cs="Times New Roman"/>
          <w:b/>
          <w:bCs/>
          <w:sz w:val="24"/>
          <w:szCs w:val="24"/>
        </w:rPr>
      </w:pPr>
      <w:r w:rsidRPr="00150B9E">
        <w:rPr>
          <w:rFonts w:ascii="Times New Roman" w:hAnsi="Times New Roman" w:cs="Times New Roman"/>
          <w:b/>
          <w:bCs/>
          <w:sz w:val="24"/>
          <w:szCs w:val="24"/>
        </w:rPr>
        <w:t>3.2.4 Basal Area</w:t>
      </w:r>
    </w:p>
    <w:p w14:paraId="5770C92C" w14:textId="77777777" w:rsidR="00E43B7D" w:rsidRPr="00150B9E" w:rsidRDefault="00E43B7D"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In the Gole Community Managed Natural Forest, the total basal area for woody plants with a diameter at breast height (DBH) of 5 cm or greater was measured at 168.153 m²/ha, accounting for 0.654% of the total study area. Notably, </w:t>
      </w:r>
      <w:proofErr w:type="spellStart"/>
      <w:r w:rsidRPr="00150B9E">
        <w:rPr>
          <w:rFonts w:ascii="Times New Roman" w:hAnsi="Times New Roman" w:cs="Times New Roman"/>
          <w:i/>
          <w:sz w:val="24"/>
          <w:szCs w:val="24"/>
        </w:rPr>
        <w:t>Ficus</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sur</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Syzygium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guineense</w:t>
      </w:r>
      <w:proofErr w:type="spellEnd"/>
      <w:r w:rsidRPr="00150B9E">
        <w:rPr>
          <w:rFonts w:ascii="Times New Roman" w:hAnsi="Times New Roman" w:cs="Times New Roman"/>
          <w:i/>
          <w:sz w:val="24"/>
          <w:szCs w:val="24"/>
        </w:rPr>
        <w:t xml:space="preserve">, Ilex </w:t>
      </w:r>
      <w:proofErr w:type="spellStart"/>
      <w:r w:rsidRPr="00150B9E">
        <w:rPr>
          <w:rFonts w:ascii="Times New Roman" w:hAnsi="Times New Roman" w:cs="Times New Roman"/>
          <w:i/>
          <w:sz w:val="24"/>
          <w:szCs w:val="24"/>
        </w:rPr>
        <w:t>mitis</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Celtis</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africana</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and</w:t>
      </w:r>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Olea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capensis</w:t>
      </w:r>
      <w:proofErr w:type="spellEnd"/>
      <w:r w:rsidRPr="00150B9E">
        <w:rPr>
          <w:rFonts w:ascii="Times New Roman" w:hAnsi="Times New Roman" w:cs="Times New Roman"/>
          <w:sz w:val="24"/>
          <w:szCs w:val="24"/>
        </w:rPr>
        <w:t xml:space="preserve"> comprised the majority, representing 58.01% of the total basal area. </w:t>
      </w:r>
      <w:r w:rsidR="00C14286" w:rsidRPr="00150B9E">
        <w:rPr>
          <w:rFonts w:ascii="Times New Roman" w:hAnsi="Times New Roman" w:cs="Times New Roman"/>
          <w:sz w:val="24"/>
          <w:szCs w:val="24"/>
        </w:rPr>
        <w:t xml:space="preserve">In contrast, four other species </w:t>
      </w:r>
      <w:proofErr w:type="spellStart"/>
      <w:r w:rsidRPr="00150B9E">
        <w:rPr>
          <w:rFonts w:ascii="Times New Roman" w:hAnsi="Times New Roman" w:cs="Times New Roman"/>
          <w:i/>
          <w:sz w:val="24"/>
          <w:szCs w:val="24"/>
        </w:rPr>
        <w:t>Rhamnus</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prinoides</w:t>
      </w:r>
      <w:proofErr w:type="spellEnd"/>
      <w:r w:rsidRPr="00150B9E">
        <w:rPr>
          <w:rFonts w:ascii="Times New Roman" w:hAnsi="Times New Roman" w:cs="Times New Roman"/>
          <w:i/>
          <w:sz w:val="24"/>
          <w:szCs w:val="24"/>
        </w:rPr>
        <w:t xml:space="preserve">, Lobelia spp., </w:t>
      </w:r>
      <w:proofErr w:type="spellStart"/>
      <w:r w:rsidRPr="00150B9E">
        <w:rPr>
          <w:rFonts w:ascii="Times New Roman" w:hAnsi="Times New Roman" w:cs="Times New Roman"/>
          <w:i/>
          <w:sz w:val="24"/>
          <w:szCs w:val="24"/>
        </w:rPr>
        <w:t>Donbeya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torrida</w:t>
      </w:r>
      <w:proofErr w:type="spellEnd"/>
      <w:r w:rsidRPr="00150B9E">
        <w:rPr>
          <w:rFonts w:ascii="Times New Roman" w:hAnsi="Times New Roman" w:cs="Times New Roman"/>
          <w:sz w:val="24"/>
          <w:szCs w:val="24"/>
        </w:rPr>
        <w:t xml:space="preserve">, and </w:t>
      </w:r>
      <w:proofErr w:type="spellStart"/>
      <w:r w:rsidRPr="00150B9E">
        <w:rPr>
          <w:rFonts w:ascii="Times New Roman" w:hAnsi="Times New Roman" w:cs="Times New Roman"/>
          <w:i/>
          <w:sz w:val="24"/>
          <w:szCs w:val="24"/>
        </w:rPr>
        <w:t>Triumfetta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heterocarpa</w:t>
      </w:r>
      <w:proofErr w:type="spellEnd"/>
      <w:r w:rsidR="00C14286" w:rsidRPr="00150B9E">
        <w:rPr>
          <w:rFonts w:ascii="Times New Roman" w:hAnsi="Times New Roman" w:cs="Times New Roman"/>
          <w:sz w:val="24"/>
          <w:szCs w:val="24"/>
        </w:rPr>
        <w:t xml:space="preserve"> </w:t>
      </w:r>
      <w:r w:rsidRPr="00150B9E">
        <w:rPr>
          <w:rFonts w:ascii="Times New Roman" w:hAnsi="Times New Roman" w:cs="Times New Roman"/>
          <w:sz w:val="24"/>
          <w:szCs w:val="24"/>
        </w:rPr>
        <w:t xml:space="preserve">together contributed only 6.359% of the basal area. The distribution of basal area is a crucial criterion for determining and classifying forest types based on the maturation of the stand </w:t>
      </w:r>
      <w:r w:rsidR="003A7E1E">
        <w:rPr>
          <w:rFonts w:ascii="Times New Roman" w:hAnsi="Times New Roman" w:cs="Times New Roman"/>
          <w:sz w:val="24"/>
          <w:szCs w:val="24"/>
        </w:rPr>
        <w:t>[</w:t>
      </w:r>
      <w:r w:rsidR="00DE603B">
        <w:rPr>
          <w:rFonts w:ascii="Times New Roman" w:hAnsi="Times New Roman" w:cs="Times New Roman"/>
          <w:sz w:val="24"/>
          <w:szCs w:val="24"/>
        </w:rPr>
        <w:t>36</w:t>
      </w:r>
      <w:r w:rsidR="003A7E1E">
        <w:rPr>
          <w:rFonts w:ascii="Times New Roman" w:hAnsi="Times New Roman" w:cs="Times New Roman"/>
          <w:sz w:val="24"/>
          <w:szCs w:val="24"/>
        </w:rPr>
        <w:t xml:space="preserve">]. </w:t>
      </w:r>
      <w:r w:rsidRPr="00150B9E">
        <w:rPr>
          <w:rFonts w:ascii="Times New Roman" w:hAnsi="Times New Roman" w:cs="Times New Roman"/>
          <w:sz w:val="24"/>
          <w:szCs w:val="24"/>
        </w:rPr>
        <w:t xml:space="preserve">Overall, the basal area of the Gole Community Managed Natural Forest is considerably higher than other regions, such as the </w:t>
      </w:r>
      <w:proofErr w:type="spellStart"/>
      <w:r w:rsidRPr="00150B9E">
        <w:rPr>
          <w:rFonts w:ascii="Times New Roman" w:hAnsi="Times New Roman" w:cs="Times New Roman"/>
          <w:sz w:val="24"/>
          <w:szCs w:val="24"/>
        </w:rPr>
        <w:t>Doshke</w:t>
      </w:r>
      <w:proofErr w:type="spellEnd"/>
      <w:r w:rsidRPr="00150B9E">
        <w:rPr>
          <w:rFonts w:ascii="Times New Roman" w:hAnsi="Times New Roman" w:cs="Times New Roman"/>
          <w:sz w:val="24"/>
          <w:szCs w:val="24"/>
        </w:rPr>
        <w:t xml:space="preserve"> Forest, which ha</w:t>
      </w:r>
      <w:r w:rsidR="009A6F02">
        <w:rPr>
          <w:rFonts w:ascii="Times New Roman" w:hAnsi="Times New Roman" w:cs="Times New Roman"/>
          <w:sz w:val="24"/>
          <w:szCs w:val="24"/>
        </w:rPr>
        <w:t xml:space="preserve">s a mean basal area of 103.7 m² </w:t>
      </w:r>
      <w:r w:rsidRPr="00150B9E">
        <w:rPr>
          <w:rFonts w:ascii="Times New Roman" w:hAnsi="Times New Roman" w:cs="Times New Roman"/>
          <w:sz w:val="24"/>
          <w:szCs w:val="24"/>
        </w:rPr>
        <w:t>ha</w:t>
      </w:r>
      <w:r w:rsidR="009A6F02" w:rsidRPr="009A6F02">
        <w:rPr>
          <w:rFonts w:ascii="Times New Roman" w:hAnsi="Times New Roman" w:cs="Times New Roman"/>
          <w:sz w:val="24"/>
          <w:szCs w:val="24"/>
          <w:vertAlign w:val="superscript"/>
        </w:rPr>
        <w:t>-1</w:t>
      </w:r>
      <w:r w:rsidRPr="00150B9E">
        <w:rPr>
          <w:rFonts w:ascii="Times New Roman" w:hAnsi="Times New Roman" w:cs="Times New Roman"/>
          <w:sz w:val="24"/>
          <w:szCs w:val="24"/>
        </w:rPr>
        <w:t xml:space="preserve"> for woody plants larger than 2.5 cm in </w:t>
      </w:r>
      <w:r w:rsidRPr="008806A5">
        <w:rPr>
          <w:rFonts w:ascii="Times New Roman" w:hAnsi="Times New Roman" w:cs="Times New Roman"/>
          <w:sz w:val="24"/>
          <w:szCs w:val="24"/>
        </w:rPr>
        <w:t xml:space="preserve">DBH </w:t>
      </w:r>
      <w:r w:rsidR="009A6F02" w:rsidRPr="008806A5">
        <w:rPr>
          <w:rFonts w:ascii="Times New Roman" w:hAnsi="Times New Roman" w:cs="Times New Roman"/>
          <w:sz w:val="24"/>
          <w:szCs w:val="24"/>
        </w:rPr>
        <w:t>[</w:t>
      </w:r>
      <w:r w:rsidR="009C6B61" w:rsidRPr="008806A5">
        <w:rPr>
          <w:rFonts w:ascii="Times New Roman" w:hAnsi="Times New Roman" w:cs="Times New Roman"/>
          <w:sz w:val="24"/>
          <w:szCs w:val="24"/>
        </w:rPr>
        <w:t>25</w:t>
      </w:r>
      <w:r w:rsidR="009A6F02" w:rsidRPr="008806A5">
        <w:rPr>
          <w:rFonts w:ascii="Times New Roman" w:hAnsi="Times New Roman" w:cs="Times New Roman"/>
          <w:sz w:val="24"/>
          <w:szCs w:val="24"/>
        </w:rPr>
        <w:t>]</w:t>
      </w:r>
      <w:r w:rsidRPr="008806A5">
        <w:rPr>
          <w:rFonts w:ascii="Times New Roman" w:hAnsi="Times New Roman" w:cs="Times New Roman"/>
          <w:sz w:val="24"/>
          <w:szCs w:val="24"/>
        </w:rPr>
        <w:t>,</w:t>
      </w:r>
      <w:r w:rsidRPr="00150B9E">
        <w:rPr>
          <w:rFonts w:ascii="Times New Roman" w:hAnsi="Times New Roman" w:cs="Times New Roman"/>
          <w:sz w:val="24"/>
          <w:szCs w:val="24"/>
        </w:rPr>
        <w:t xml:space="preserve"> Bale Mountain National Park, </w:t>
      </w:r>
      <w:proofErr w:type="spellStart"/>
      <w:r w:rsidRPr="00150B9E">
        <w:rPr>
          <w:rFonts w:ascii="Times New Roman" w:hAnsi="Times New Roman" w:cs="Times New Roman"/>
          <w:sz w:val="24"/>
          <w:szCs w:val="24"/>
        </w:rPr>
        <w:t>Boditi</w:t>
      </w:r>
      <w:proofErr w:type="spellEnd"/>
      <w:r w:rsidRPr="00150B9E">
        <w:rPr>
          <w:rFonts w:ascii="Times New Roman" w:hAnsi="Times New Roman" w:cs="Times New Roman"/>
          <w:sz w:val="24"/>
          <w:szCs w:val="24"/>
        </w:rPr>
        <w:t xml:space="preserve"> Forest at 23 </w:t>
      </w:r>
      <w:r w:rsidR="009A6F02">
        <w:rPr>
          <w:rFonts w:ascii="Times New Roman" w:hAnsi="Times New Roman" w:cs="Times New Roman"/>
          <w:sz w:val="24"/>
          <w:szCs w:val="24"/>
        </w:rPr>
        <w:t xml:space="preserve">m² </w:t>
      </w:r>
      <w:r w:rsidR="009A6F02" w:rsidRPr="00150B9E">
        <w:rPr>
          <w:rFonts w:ascii="Times New Roman" w:hAnsi="Times New Roman" w:cs="Times New Roman"/>
          <w:sz w:val="24"/>
          <w:szCs w:val="24"/>
        </w:rPr>
        <w:t>ha</w:t>
      </w:r>
      <w:r w:rsidR="009A6F02" w:rsidRPr="009A6F02">
        <w:rPr>
          <w:rFonts w:ascii="Times New Roman" w:hAnsi="Times New Roman" w:cs="Times New Roman"/>
          <w:sz w:val="24"/>
          <w:szCs w:val="24"/>
          <w:vertAlign w:val="superscript"/>
        </w:rPr>
        <w:t>-1</w:t>
      </w:r>
      <w:r w:rsidR="009A6F02" w:rsidRPr="00150B9E">
        <w:rPr>
          <w:rFonts w:ascii="Times New Roman" w:hAnsi="Times New Roman" w:cs="Times New Roman"/>
          <w:sz w:val="24"/>
          <w:szCs w:val="24"/>
        </w:rPr>
        <w:t xml:space="preserve"> </w:t>
      </w:r>
      <w:r w:rsidR="009A6F02">
        <w:rPr>
          <w:rFonts w:ascii="Times New Roman" w:hAnsi="Times New Roman" w:cs="Times New Roman"/>
          <w:sz w:val="24"/>
          <w:szCs w:val="24"/>
        </w:rPr>
        <w:t>[</w:t>
      </w:r>
      <w:r w:rsidR="009C6B61">
        <w:rPr>
          <w:rFonts w:ascii="Times New Roman" w:hAnsi="Times New Roman" w:cs="Times New Roman"/>
          <w:sz w:val="24"/>
          <w:szCs w:val="24"/>
        </w:rPr>
        <w:t>37</w:t>
      </w:r>
      <w:r w:rsidR="009A6F02">
        <w:rPr>
          <w:rFonts w:ascii="Times New Roman" w:hAnsi="Times New Roman" w:cs="Times New Roman"/>
          <w:sz w:val="24"/>
          <w:szCs w:val="24"/>
        </w:rPr>
        <w:t>]</w:t>
      </w:r>
      <w:r w:rsidRPr="00150B9E">
        <w:rPr>
          <w:rFonts w:ascii="Times New Roman" w:hAnsi="Times New Roman" w:cs="Times New Roman"/>
          <w:sz w:val="24"/>
          <w:szCs w:val="24"/>
        </w:rPr>
        <w:t xml:space="preserve">, woodland and riverine vegetation of Sire </w:t>
      </w:r>
      <w:proofErr w:type="spellStart"/>
      <w:r w:rsidRPr="00150B9E">
        <w:rPr>
          <w:rFonts w:ascii="Times New Roman" w:hAnsi="Times New Roman" w:cs="Times New Roman"/>
          <w:sz w:val="24"/>
          <w:szCs w:val="24"/>
        </w:rPr>
        <w:t>Beggo</w:t>
      </w:r>
      <w:proofErr w:type="spellEnd"/>
      <w:r w:rsidRPr="00150B9E">
        <w:rPr>
          <w:rFonts w:ascii="Times New Roman" w:hAnsi="Times New Roman" w:cs="Times New Roman"/>
          <w:sz w:val="24"/>
          <w:szCs w:val="24"/>
        </w:rPr>
        <w:t xml:space="preserve"> at 19.3 </w:t>
      </w:r>
      <w:r w:rsidR="009A6F02">
        <w:rPr>
          <w:rFonts w:ascii="Times New Roman" w:hAnsi="Times New Roman" w:cs="Times New Roman"/>
          <w:sz w:val="24"/>
          <w:szCs w:val="24"/>
        </w:rPr>
        <w:t xml:space="preserve">m² </w:t>
      </w:r>
      <w:r w:rsidR="009A6F02" w:rsidRPr="00150B9E">
        <w:rPr>
          <w:rFonts w:ascii="Times New Roman" w:hAnsi="Times New Roman" w:cs="Times New Roman"/>
          <w:sz w:val="24"/>
          <w:szCs w:val="24"/>
        </w:rPr>
        <w:t>ha</w:t>
      </w:r>
      <w:r w:rsidR="009A6F02" w:rsidRPr="009A6F02">
        <w:rPr>
          <w:rFonts w:ascii="Times New Roman" w:hAnsi="Times New Roman" w:cs="Times New Roman"/>
          <w:sz w:val="24"/>
          <w:szCs w:val="24"/>
          <w:vertAlign w:val="superscript"/>
        </w:rPr>
        <w:t>-</w:t>
      </w:r>
      <w:r w:rsidR="009A6F02" w:rsidRPr="00A1074E">
        <w:rPr>
          <w:rFonts w:ascii="Times New Roman" w:hAnsi="Times New Roman" w:cs="Times New Roman"/>
          <w:sz w:val="24"/>
          <w:szCs w:val="24"/>
          <w:vertAlign w:val="superscript"/>
        </w:rPr>
        <w:t>1</w:t>
      </w:r>
      <w:r w:rsidR="009A6F02" w:rsidRPr="00A1074E">
        <w:rPr>
          <w:rFonts w:ascii="Times New Roman" w:hAnsi="Times New Roman" w:cs="Times New Roman"/>
          <w:sz w:val="24"/>
          <w:szCs w:val="24"/>
        </w:rPr>
        <w:t xml:space="preserve"> [</w:t>
      </w:r>
      <w:r w:rsidR="00DE603B" w:rsidRPr="00A1074E">
        <w:rPr>
          <w:rFonts w:ascii="Times New Roman" w:hAnsi="Times New Roman" w:cs="Times New Roman"/>
          <w:sz w:val="24"/>
          <w:szCs w:val="24"/>
        </w:rPr>
        <w:t>3</w:t>
      </w:r>
      <w:r w:rsidR="009C6B61" w:rsidRPr="00A1074E">
        <w:rPr>
          <w:rFonts w:ascii="Times New Roman" w:hAnsi="Times New Roman" w:cs="Times New Roman"/>
          <w:sz w:val="24"/>
          <w:szCs w:val="24"/>
        </w:rPr>
        <w:t>8</w:t>
      </w:r>
      <w:r w:rsidR="009A6F02" w:rsidRPr="00A1074E">
        <w:rPr>
          <w:rFonts w:ascii="Times New Roman" w:hAnsi="Times New Roman" w:cs="Times New Roman"/>
          <w:sz w:val="24"/>
          <w:szCs w:val="24"/>
        </w:rPr>
        <w:t>]</w:t>
      </w:r>
      <w:r w:rsidRPr="00A1074E">
        <w:rPr>
          <w:rFonts w:ascii="Times New Roman" w:hAnsi="Times New Roman" w:cs="Times New Roman"/>
          <w:sz w:val="24"/>
          <w:szCs w:val="24"/>
        </w:rPr>
        <w:t xml:space="preserve">, </w:t>
      </w:r>
      <w:proofErr w:type="spellStart"/>
      <w:r w:rsidRPr="00A1074E">
        <w:rPr>
          <w:rFonts w:ascii="Times New Roman" w:hAnsi="Times New Roman" w:cs="Times New Roman"/>
          <w:sz w:val="24"/>
          <w:szCs w:val="24"/>
        </w:rPr>
        <w:t>Zengena</w:t>
      </w:r>
      <w:proofErr w:type="spellEnd"/>
      <w:r w:rsidRPr="00A1074E">
        <w:rPr>
          <w:rFonts w:ascii="Times New Roman" w:hAnsi="Times New Roman" w:cs="Times New Roman"/>
          <w:sz w:val="24"/>
          <w:szCs w:val="24"/>
        </w:rPr>
        <w:t xml:space="preserve"> Forest at 22.3 </w:t>
      </w:r>
      <w:r w:rsidR="009A6F02" w:rsidRPr="00A1074E">
        <w:rPr>
          <w:rFonts w:ascii="Times New Roman" w:hAnsi="Times New Roman" w:cs="Times New Roman"/>
          <w:sz w:val="24"/>
          <w:szCs w:val="24"/>
        </w:rPr>
        <w:t>m² ha</w:t>
      </w:r>
      <w:r w:rsidR="009A6F02" w:rsidRPr="00A1074E">
        <w:rPr>
          <w:rFonts w:ascii="Times New Roman" w:hAnsi="Times New Roman" w:cs="Times New Roman"/>
          <w:sz w:val="24"/>
          <w:szCs w:val="24"/>
          <w:vertAlign w:val="superscript"/>
        </w:rPr>
        <w:t>-1</w:t>
      </w:r>
      <w:r w:rsidR="009A6F02" w:rsidRPr="00A1074E">
        <w:rPr>
          <w:rFonts w:ascii="Times New Roman" w:hAnsi="Times New Roman" w:cs="Times New Roman"/>
          <w:sz w:val="24"/>
          <w:szCs w:val="24"/>
        </w:rPr>
        <w:t xml:space="preserve"> </w:t>
      </w:r>
      <w:r w:rsidR="009C6B61" w:rsidRPr="00A1074E">
        <w:rPr>
          <w:rFonts w:ascii="Times New Roman" w:hAnsi="Times New Roman" w:cs="Times New Roman"/>
          <w:sz w:val="24"/>
          <w:szCs w:val="24"/>
        </w:rPr>
        <w:t>[39</w:t>
      </w:r>
      <w:r w:rsidR="009A6F02" w:rsidRPr="00A1074E">
        <w:rPr>
          <w:rFonts w:ascii="Times New Roman" w:hAnsi="Times New Roman" w:cs="Times New Roman"/>
          <w:sz w:val="24"/>
          <w:szCs w:val="24"/>
        </w:rPr>
        <w:t>]</w:t>
      </w:r>
      <w:r w:rsidRPr="00A1074E">
        <w:rPr>
          <w:rFonts w:ascii="Times New Roman" w:hAnsi="Times New Roman" w:cs="Times New Roman"/>
          <w:sz w:val="24"/>
          <w:szCs w:val="24"/>
        </w:rPr>
        <w:t xml:space="preserve">, and </w:t>
      </w:r>
      <w:proofErr w:type="spellStart"/>
      <w:r w:rsidRPr="00A1074E">
        <w:rPr>
          <w:rFonts w:ascii="Times New Roman" w:hAnsi="Times New Roman" w:cs="Times New Roman"/>
          <w:sz w:val="24"/>
          <w:szCs w:val="24"/>
        </w:rPr>
        <w:t>Hugumburda</w:t>
      </w:r>
      <w:proofErr w:type="spellEnd"/>
      <w:r w:rsidRPr="00A1074E">
        <w:rPr>
          <w:rFonts w:ascii="Times New Roman" w:hAnsi="Times New Roman" w:cs="Times New Roman"/>
          <w:sz w:val="24"/>
          <w:szCs w:val="24"/>
        </w:rPr>
        <w:t xml:space="preserve"> Forest at 9.23 </w:t>
      </w:r>
      <w:r w:rsidR="009A6F02" w:rsidRPr="00A1074E">
        <w:rPr>
          <w:rFonts w:ascii="Times New Roman" w:hAnsi="Times New Roman" w:cs="Times New Roman"/>
          <w:sz w:val="24"/>
          <w:szCs w:val="24"/>
        </w:rPr>
        <w:t>m² ha</w:t>
      </w:r>
      <w:r w:rsidR="009A6F02" w:rsidRPr="00A1074E">
        <w:rPr>
          <w:rFonts w:ascii="Times New Roman" w:hAnsi="Times New Roman" w:cs="Times New Roman"/>
          <w:sz w:val="24"/>
          <w:szCs w:val="24"/>
          <w:vertAlign w:val="superscript"/>
        </w:rPr>
        <w:t>-1</w:t>
      </w:r>
      <w:r w:rsidR="009A6F02" w:rsidRPr="00A1074E">
        <w:rPr>
          <w:rFonts w:ascii="Times New Roman" w:hAnsi="Times New Roman" w:cs="Times New Roman"/>
          <w:sz w:val="24"/>
          <w:szCs w:val="24"/>
        </w:rPr>
        <w:t xml:space="preserve"> [</w:t>
      </w:r>
      <w:r w:rsidR="009C6B61" w:rsidRPr="00A1074E">
        <w:rPr>
          <w:rFonts w:ascii="Times New Roman" w:hAnsi="Times New Roman" w:cs="Times New Roman"/>
          <w:sz w:val="24"/>
          <w:szCs w:val="24"/>
        </w:rPr>
        <w:t>40</w:t>
      </w:r>
      <w:r w:rsidR="009A6F02" w:rsidRPr="00A1074E">
        <w:rPr>
          <w:rFonts w:ascii="Times New Roman" w:hAnsi="Times New Roman" w:cs="Times New Roman"/>
          <w:sz w:val="24"/>
          <w:szCs w:val="24"/>
        </w:rPr>
        <w:t>]</w:t>
      </w:r>
      <w:r w:rsidRPr="00A1074E">
        <w:rPr>
          <w:rFonts w:ascii="Times New Roman" w:hAnsi="Times New Roman" w:cs="Times New Roman"/>
          <w:sz w:val="24"/>
          <w:szCs w:val="24"/>
        </w:rPr>
        <w:t>.</w:t>
      </w:r>
      <w:r w:rsidR="009A6F02">
        <w:rPr>
          <w:rFonts w:ascii="Times New Roman" w:hAnsi="Times New Roman" w:cs="Times New Roman"/>
          <w:sz w:val="24"/>
          <w:szCs w:val="24"/>
        </w:rPr>
        <w:t xml:space="preserve"> </w:t>
      </w:r>
    </w:p>
    <w:p w14:paraId="1CE282AA" w14:textId="77777777" w:rsidR="00E43B7D" w:rsidRPr="00150B9E" w:rsidRDefault="00E43B7D" w:rsidP="000D27B9">
      <w:pPr>
        <w:spacing w:before="100" w:beforeAutospacing="1" w:after="100" w:afterAutospacing="1" w:line="360" w:lineRule="auto"/>
        <w:jc w:val="both"/>
        <w:rPr>
          <w:rFonts w:ascii="Times New Roman" w:hAnsi="Times New Roman" w:cs="Times New Roman"/>
          <w:b/>
          <w:bCs/>
          <w:sz w:val="24"/>
          <w:szCs w:val="24"/>
        </w:rPr>
      </w:pPr>
      <w:r w:rsidRPr="00150B9E">
        <w:rPr>
          <w:rFonts w:ascii="Times New Roman" w:hAnsi="Times New Roman" w:cs="Times New Roman"/>
          <w:b/>
          <w:bCs/>
          <w:sz w:val="24"/>
          <w:szCs w:val="24"/>
        </w:rPr>
        <w:t>3.2.5 Importance Value Index</w:t>
      </w:r>
    </w:p>
    <w:p w14:paraId="38BB79E4" w14:textId="77777777" w:rsidR="00A1074E" w:rsidRPr="00A12A9C" w:rsidRDefault="00E43B7D"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The Importance Value Index (IVI) was calculated for 42 species within the Gole Community Managed Natural Forest. The five species with the highest IVI were </w:t>
      </w:r>
      <w:proofErr w:type="spellStart"/>
      <w:r w:rsidRPr="00150B9E">
        <w:rPr>
          <w:rFonts w:ascii="Times New Roman" w:hAnsi="Times New Roman" w:cs="Times New Roman"/>
          <w:i/>
          <w:sz w:val="24"/>
          <w:szCs w:val="24"/>
        </w:rPr>
        <w:t>Syzygium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guineense</w:t>
      </w:r>
      <w:proofErr w:type="spellEnd"/>
      <w:r w:rsidRPr="00150B9E">
        <w:rPr>
          <w:rFonts w:ascii="Times New Roman" w:hAnsi="Times New Roman" w:cs="Times New Roman"/>
          <w:sz w:val="24"/>
          <w:szCs w:val="24"/>
        </w:rPr>
        <w:t xml:space="preserve"> (37.534), </w:t>
      </w:r>
      <w:proofErr w:type="spellStart"/>
      <w:r w:rsidRPr="00150B9E">
        <w:rPr>
          <w:rFonts w:ascii="Times New Roman" w:hAnsi="Times New Roman" w:cs="Times New Roman"/>
          <w:i/>
          <w:sz w:val="24"/>
          <w:szCs w:val="24"/>
        </w:rPr>
        <w:t>Olea</w:t>
      </w:r>
      <w:proofErr w:type="spellEnd"/>
      <w:r w:rsidRPr="00150B9E">
        <w:rPr>
          <w:rFonts w:ascii="Times New Roman" w:hAnsi="Times New Roman" w:cs="Times New Roman"/>
          <w:i/>
          <w:sz w:val="24"/>
          <w:szCs w:val="24"/>
        </w:rPr>
        <w:t xml:space="preserve"> capensis</w:t>
      </w:r>
      <w:r w:rsidRPr="00150B9E">
        <w:rPr>
          <w:rFonts w:ascii="Times New Roman" w:hAnsi="Times New Roman" w:cs="Times New Roman"/>
          <w:sz w:val="24"/>
          <w:szCs w:val="24"/>
        </w:rPr>
        <w:t xml:space="preserve"> (25.511), </w:t>
      </w:r>
      <w:r w:rsidRPr="00150B9E">
        <w:rPr>
          <w:rFonts w:ascii="Times New Roman" w:hAnsi="Times New Roman" w:cs="Times New Roman"/>
          <w:i/>
          <w:sz w:val="24"/>
          <w:szCs w:val="24"/>
        </w:rPr>
        <w:t xml:space="preserve">Ilex </w:t>
      </w:r>
      <w:proofErr w:type="spellStart"/>
      <w:r w:rsidRPr="00150B9E">
        <w:rPr>
          <w:rFonts w:ascii="Times New Roman" w:hAnsi="Times New Roman" w:cs="Times New Roman"/>
          <w:i/>
          <w:sz w:val="24"/>
          <w:szCs w:val="24"/>
        </w:rPr>
        <w:t>mitis</w:t>
      </w:r>
      <w:proofErr w:type="spellEnd"/>
      <w:r w:rsidRPr="00150B9E">
        <w:rPr>
          <w:rFonts w:ascii="Times New Roman" w:hAnsi="Times New Roman" w:cs="Times New Roman"/>
          <w:sz w:val="24"/>
          <w:szCs w:val="24"/>
        </w:rPr>
        <w:t xml:space="preserve"> (21.469), </w:t>
      </w:r>
      <w:proofErr w:type="spellStart"/>
      <w:r w:rsidRPr="00150B9E">
        <w:rPr>
          <w:rFonts w:ascii="Times New Roman" w:hAnsi="Times New Roman" w:cs="Times New Roman"/>
          <w:i/>
          <w:sz w:val="24"/>
          <w:szCs w:val="24"/>
        </w:rPr>
        <w:t>Ocotea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kenyensis</w:t>
      </w:r>
      <w:proofErr w:type="spellEnd"/>
      <w:r w:rsidRPr="00150B9E">
        <w:rPr>
          <w:rFonts w:ascii="Times New Roman" w:hAnsi="Times New Roman" w:cs="Times New Roman"/>
          <w:sz w:val="24"/>
          <w:szCs w:val="24"/>
        </w:rPr>
        <w:t xml:space="preserve"> (21.041), and </w:t>
      </w:r>
      <w:r w:rsidRPr="00150B9E">
        <w:rPr>
          <w:rFonts w:ascii="Times New Roman" w:hAnsi="Times New Roman" w:cs="Times New Roman"/>
          <w:i/>
          <w:sz w:val="24"/>
          <w:szCs w:val="24"/>
        </w:rPr>
        <w:t>Croton</w:t>
      </w:r>
      <w:r w:rsidRPr="00150B9E">
        <w:rPr>
          <w:rFonts w:ascii="Times New Roman" w:hAnsi="Times New Roman" w:cs="Times New Roman"/>
          <w:sz w:val="24"/>
          <w:szCs w:val="24"/>
        </w:rPr>
        <w:t xml:space="preserve"> </w:t>
      </w:r>
      <w:proofErr w:type="spellStart"/>
      <w:r w:rsidRPr="00A12A9C">
        <w:rPr>
          <w:rFonts w:ascii="Times New Roman" w:hAnsi="Times New Roman" w:cs="Times New Roman"/>
          <w:i/>
          <w:sz w:val="24"/>
          <w:szCs w:val="24"/>
        </w:rPr>
        <w:lastRenderedPageBreak/>
        <w:t>macrostachyus</w:t>
      </w:r>
      <w:proofErr w:type="spellEnd"/>
      <w:r w:rsidRPr="00A12A9C">
        <w:rPr>
          <w:rFonts w:ascii="Times New Roman" w:hAnsi="Times New Roman" w:cs="Times New Roman"/>
          <w:sz w:val="24"/>
          <w:szCs w:val="24"/>
        </w:rPr>
        <w:t xml:space="preserve"> (12.150), collectively accounting for 117.7 of the total IVI value of 300. Conversely, the species with the lowest IVI scores included </w:t>
      </w:r>
      <w:proofErr w:type="spellStart"/>
      <w:r w:rsidRPr="00A12A9C">
        <w:rPr>
          <w:rFonts w:ascii="Times New Roman" w:hAnsi="Times New Roman" w:cs="Times New Roman"/>
          <w:i/>
          <w:sz w:val="24"/>
          <w:szCs w:val="24"/>
        </w:rPr>
        <w:t>Pavetta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oliveriana</w:t>
      </w:r>
      <w:proofErr w:type="spellEnd"/>
      <w:r w:rsidRPr="00A12A9C">
        <w:rPr>
          <w:rFonts w:ascii="Times New Roman" w:hAnsi="Times New Roman" w:cs="Times New Roman"/>
          <w:sz w:val="24"/>
          <w:szCs w:val="24"/>
        </w:rPr>
        <w:t xml:space="preserve"> (1.672), </w:t>
      </w:r>
      <w:proofErr w:type="spellStart"/>
      <w:r w:rsidRPr="00A12A9C">
        <w:rPr>
          <w:rFonts w:ascii="Times New Roman" w:hAnsi="Times New Roman" w:cs="Times New Roman"/>
          <w:i/>
          <w:sz w:val="24"/>
          <w:szCs w:val="24"/>
        </w:rPr>
        <w:t>Steganotetaenia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araliacea</w:t>
      </w:r>
      <w:proofErr w:type="spellEnd"/>
      <w:r w:rsidRPr="00A12A9C">
        <w:rPr>
          <w:rFonts w:ascii="Times New Roman" w:hAnsi="Times New Roman" w:cs="Times New Roman"/>
          <w:sz w:val="24"/>
          <w:szCs w:val="24"/>
        </w:rPr>
        <w:t xml:space="preserve"> (1.912), Lobelia sp. (1.999), and </w:t>
      </w:r>
      <w:r w:rsidRPr="00A12A9C">
        <w:rPr>
          <w:rFonts w:ascii="Times New Roman" w:hAnsi="Times New Roman" w:cs="Times New Roman"/>
          <w:i/>
          <w:sz w:val="24"/>
          <w:szCs w:val="24"/>
        </w:rPr>
        <w:t>Maesa lanceolata</w:t>
      </w:r>
      <w:r w:rsidRPr="00A12A9C">
        <w:rPr>
          <w:rFonts w:ascii="Times New Roman" w:hAnsi="Times New Roman" w:cs="Times New Roman"/>
          <w:sz w:val="24"/>
          <w:szCs w:val="24"/>
        </w:rPr>
        <w:t xml:space="preserve"> (2.048). In this forest, species with a higher IVI are considered to hold greater ecological significance than those with lower IVI values </w:t>
      </w:r>
      <w:r w:rsidR="009A6F02" w:rsidRPr="00A12A9C">
        <w:rPr>
          <w:rFonts w:ascii="Times New Roman" w:hAnsi="Times New Roman" w:cs="Times New Roman"/>
          <w:sz w:val="24"/>
          <w:szCs w:val="24"/>
        </w:rPr>
        <w:t>[</w:t>
      </w:r>
      <w:r w:rsidR="009C6B61" w:rsidRPr="00A12A9C">
        <w:rPr>
          <w:rFonts w:ascii="Times New Roman" w:hAnsi="Times New Roman" w:cs="Times New Roman"/>
          <w:sz w:val="24"/>
          <w:szCs w:val="24"/>
        </w:rPr>
        <w:t>41</w:t>
      </w:r>
      <w:r w:rsidR="009A6F02" w:rsidRPr="00A12A9C">
        <w:rPr>
          <w:rFonts w:ascii="Times New Roman" w:hAnsi="Times New Roman" w:cs="Times New Roman"/>
          <w:sz w:val="24"/>
          <w:szCs w:val="24"/>
        </w:rPr>
        <w:t>].</w:t>
      </w:r>
    </w:p>
    <w:p w14:paraId="0B3FFA45" w14:textId="77777777" w:rsidR="00E43B7D" w:rsidRPr="00A12A9C" w:rsidRDefault="00E43B7D" w:rsidP="000D27B9">
      <w:pPr>
        <w:spacing w:before="100" w:beforeAutospacing="1" w:after="100" w:afterAutospacing="1" w:line="360" w:lineRule="auto"/>
        <w:jc w:val="both"/>
        <w:rPr>
          <w:rFonts w:ascii="Times New Roman" w:hAnsi="Times New Roman" w:cs="Times New Roman"/>
          <w:b/>
          <w:bCs/>
          <w:sz w:val="24"/>
          <w:szCs w:val="24"/>
        </w:rPr>
      </w:pPr>
      <w:r w:rsidRPr="00A12A9C">
        <w:rPr>
          <w:rFonts w:ascii="Times New Roman" w:hAnsi="Times New Roman" w:cs="Times New Roman"/>
          <w:b/>
          <w:bCs/>
          <w:sz w:val="24"/>
          <w:szCs w:val="24"/>
        </w:rPr>
        <w:t>3.4 Regeneration Status of Gole Forest</w:t>
      </w:r>
    </w:p>
    <w:p w14:paraId="3070E5C2" w14:textId="77777777" w:rsidR="00E43B7D" w:rsidRPr="00A12A9C" w:rsidRDefault="00E43B7D" w:rsidP="000D27B9">
      <w:pPr>
        <w:spacing w:before="100" w:beforeAutospacing="1" w:after="100" w:afterAutospacing="1" w:line="360" w:lineRule="auto"/>
        <w:jc w:val="both"/>
        <w:rPr>
          <w:rFonts w:ascii="Times New Roman" w:hAnsi="Times New Roman" w:cs="Times New Roman"/>
          <w:sz w:val="24"/>
          <w:szCs w:val="24"/>
        </w:rPr>
      </w:pPr>
      <w:r w:rsidRPr="00A12A9C">
        <w:rPr>
          <w:rFonts w:ascii="Times New Roman" w:hAnsi="Times New Roman" w:cs="Times New Roman"/>
          <w:sz w:val="24"/>
          <w:szCs w:val="24"/>
        </w:rPr>
        <w:t xml:space="preserve">The regeneration status of the Gole Forest was evaluated across 52 representative woody species, revealing a total of 17,622 seedlings per hectare, 4,127 saplings per hectare, and 385 mature individuals per hectare recorded from 47 quadrants. Based on criteria established by </w:t>
      </w:r>
      <w:r w:rsidR="005A5518" w:rsidRPr="00A12A9C">
        <w:rPr>
          <w:rFonts w:ascii="Times New Roman" w:hAnsi="Times New Roman" w:cs="Times New Roman"/>
          <w:sz w:val="24"/>
          <w:szCs w:val="24"/>
        </w:rPr>
        <w:t>[</w:t>
      </w:r>
      <w:r w:rsidR="009C6B61" w:rsidRPr="00A12A9C">
        <w:rPr>
          <w:rFonts w:ascii="Times New Roman" w:hAnsi="Times New Roman" w:cs="Times New Roman"/>
          <w:sz w:val="24"/>
          <w:szCs w:val="24"/>
        </w:rPr>
        <w:t>42 and 43</w:t>
      </w:r>
      <w:r w:rsidR="005A5518" w:rsidRPr="00A12A9C">
        <w:rPr>
          <w:rFonts w:ascii="Times New Roman" w:hAnsi="Times New Roman" w:cs="Times New Roman"/>
          <w:sz w:val="24"/>
          <w:szCs w:val="24"/>
        </w:rPr>
        <w:t xml:space="preserve">], </w:t>
      </w:r>
      <w:r w:rsidRPr="00A12A9C">
        <w:rPr>
          <w:rFonts w:ascii="Times New Roman" w:hAnsi="Times New Roman" w:cs="Times New Roman"/>
          <w:sz w:val="24"/>
          <w:szCs w:val="24"/>
        </w:rPr>
        <w:t xml:space="preserve">the regeneration status indicates that both seedlings and sapling populations outnumber mature individuals, classifying the species as having good regeneration potential. Notable species showing robust regeneration included </w:t>
      </w:r>
      <w:proofErr w:type="spellStart"/>
      <w:r w:rsidRPr="00A12A9C">
        <w:rPr>
          <w:rFonts w:ascii="Times New Roman" w:hAnsi="Times New Roman" w:cs="Times New Roman"/>
          <w:i/>
          <w:sz w:val="24"/>
          <w:szCs w:val="24"/>
        </w:rPr>
        <w:t>Syzygium</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guineense</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Donbeya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torrida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Rhus</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glutinosa</w:t>
      </w:r>
      <w:proofErr w:type="spellEnd"/>
      <w:r w:rsidRPr="00A12A9C">
        <w:rPr>
          <w:rFonts w:ascii="Times New Roman" w:hAnsi="Times New Roman" w:cs="Times New Roman"/>
          <w:i/>
          <w:sz w:val="24"/>
          <w:szCs w:val="24"/>
        </w:rPr>
        <w:t xml:space="preserve">, </w:t>
      </w:r>
      <w:r w:rsidRPr="00A12A9C">
        <w:rPr>
          <w:rFonts w:ascii="Times New Roman" w:hAnsi="Times New Roman" w:cs="Times New Roman"/>
          <w:sz w:val="24"/>
          <w:szCs w:val="24"/>
        </w:rPr>
        <w:t>and</w:t>
      </w:r>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Schefflera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abyssinica</w:t>
      </w:r>
      <w:proofErr w:type="spellEnd"/>
      <w:r w:rsidRPr="00A12A9C">
        <w:rPr>
          <w:rFonts w:ascii="Times New Roman" w:hAnsi="Times New Roman" w:cs="Times New Roman"/>
          <w:sz w:val="24"/>
          <w:szCs w:val="24"/>
        </w:rPr>
        <w:t xml:space="preserve">. Overall, the distribution data demonstrate that seedlings outnumber saplings, and saplings exceed mature trees. The analysis of diameter at breast height (DBH) and height distribution supports the regeneration status of the natural forest </w:t>
      </w:r>
      <w:r w:rsidR="005A5518" w:rsidRPr="00A12A9C">
        <w:rPr>
          <w:rFonts w:ascii="Times New Roman" w:hAnsi="Times New Roman" w:cs="Times New Roman"/>
          <w:sz w:val="24"/>
          <w:szCs w:val="24"/>
        </w:rPr>
        <w:t>[</w:t>
      </w:r>
      <w:r w:rsidR="009C6B61" w:rsidRPr="00A12A9C">
        <w:rPr>
          <w:rFonts w:ascii="Times New Roman" w:hAnsi="Times New Roman" w:cs="Times New Roman"/>
          <w:sz w:val="24"/>
          <w:szCs w:val="24"/>
        </w:rPr>
        <w:t>44</w:t>
      </w:r>
      <w:r w:rsidR="005A5518" w:rsidRPr="00A12A9C">
        <w:rPr>
          <w:rFonts w:ascii="Times New Roman" w:hAnsi="Times New Roman" w:cs="Times New Roman"/>
          <w:sz w:val="24"/>
          <w:szCs w:val="24"/>
        </w:rPr>
        <w:t>]</w:t>
      </w:r>
      <w:r w:rsidRPr="00A12A9C">
        <w:rPr>
          <w:rFonts w:ascii="Times New Roman" w:hAnsi="Times New Roman" w:cs="Times New Roman"/>
          <w:sz w:val="24"/>
          <w:szCs w:val="24"/>
        </w:rPr>
        <w:t>, with an inverted J-shaped distribution observed, indicating that most species had the highest number of individuals within the lower diameter and height classes.</w:t>
      </w:r>
    </w:p>
    <w:p w14:paraId="762B2242" w14:textId="77777777" w:rsidR="0090386B" w:rsidRPr="00A12A9C" w:rsidRDefault="0090386B" w:rsidP="000D27B9">
      <w:pPr>
        <w:pStyle w:val="NormalWeb"/>
        <w:spacing w:line="360" w:lineRule="auto"/>
        <w:jc w:val="both"/>
        <w:rPr>
          <w:color w:val="00B050"/>
        </w:rPr>
      </w:pPr>
      <w:r w:rsidRPr="00150B9E">
        <w:t xml:space="preserve">The Gole Community Managed Forest is characterized by a diverse array of woody species, including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rPr>
          <w:b/>
          <w:i/>
        </w:rPr>
        <w:t xml:space="preserve">, </w:t>
      </w:r>
      <w:proofErr w:type="spellStart"/>
      <w:r w:rsidRPr="00150B9E">
        <w:rPr>
          <w:rStyle w:val="Strong"/>
          <w:b w:val="0"/>
          <w:i/>
        </w:rPr>
        <w:t>Schefflera</w:t>
      </w:r>
      <w:proofErr w:type="spellEnd"/>
      <w:r w:rsidRPr="00150B9E">
        <w:rPr>
          <w:rStyle w:val="Strong"/>
          <w:b w:val="0"/>
          <w:i/>
        </w:rPr>
        <w:t xml:space="preserve"> </w:t>
      </w:r>
      <w:proofErr w:type="spellStart"/>
      <w:r w:rsidRPr="00150B9E">
        <w:rPr>
          <w:rStyle w:val="Strong"/>
          <w:b w:val="0"/>
          <w:i/>
        </w:rPr>
        <w:t>abyssinica</w:t>
      </w:r>
      <w:proofErr w:type="spellEnd"/>
      <w:r w:rsidRPr="00150B9E">
        <w:rPr>
          <w:b/>
          <w:i/>
        </w:rPr>
        <w:t xml:space="preserve">, </w:t>
      </w:r>
      <w:proofErr w:type="spellStart"/>
      <w:r w:rsidRPr="00150B9E">
        <w:rPr>
          <w:rStyle w:val="Strong"/>
          <w:b w:val="0"/>
          <w:i/>
        </w:rPr>
        <w:t>Ocotea</w:t>
      </w:r>
      <w:proofErr w:type="spellEnd"/>
      <w:r w:rsidRPr="00150B9E">
        <w:rPr>
          <w:rStyle w:val="Strong"/>
          <w:b w:val="0"/>
          <w:i/>
        </w:rPr>
        <w:t xml:space="preserve"> </w:t>
      </w:r>
      <w:proofErr w:type="spellStart"/>
      <w:r w:rsidRPr="00150B9E">
        <w:rPr>
          <w:rStyle w:val="Strong"/>
          <w:b w:val="0"/>
          <w:i/>
        </w:rPr>
        <w:t>kenyensis</w:t>
      </w:r>
      <w:proofErr w:type="spellEnd"/>
      <w:r w:rsidRPr="00150B9E">
        <w:rPr>
          <w:b/>
        </w:rPr>
        <w:t xml:space="preserve">, </w:t>
      </w:r>
      <w:r w:rsidRPr="00150B9E">
        <w:t>and</w:t>
      </w:r>
      <w:r w:rsidRPr="00150B9E">
        <w:rPr>
          <w:b/>
        </w:rPr>
        <w:t xml:space="preserve"> </w:t>
      </w:r>
      <w:r w:rsidRPr="00150B9E">
        <w:rPr>
          <w:rStyle w:val="Strong"/>
          <w:b w:val="0"/>
          <w:i/>
        </w:rPr>
        <w:t xml:space="preserve">Ilex </w:t>
      </w:r>
      <w:proofErr w:type="spellStart"/>
      <w:r w:rsidRPr="00150B9E">
        <w:rPr>
          <w:rStyle w:val="Strong"/>
          <w:b w:val="0"/>
          <w:i/>
        </w:rPr>
        <w:t>mitis</w:t>
      </w:r>
      <w:proofErr w:type="spellEnd"/>
      <w:r w:rsidRPr="00150B9E">
        <w:rPr>
          <w:i/>
        </w:rPr>
        <w:t>.</w:t>
      </w:r>
      <w:r w:rsidRPr="00150B9E">
        <w:t xml:space="preserve"> These species exhibit varying levels of composition, Diameter at Breast Height (DBH), height, density, and frequency across the altitudinal gradient </w:t>
      </w:r>
      <w:r w:rsidR="00C14286" w:rsidRPr="00150B9E">
        <w:t>from</w:t>
      </w:r>
      <w:r w:rsidRPr="00150B9E">
        <w:t xml:space="preserve"> 1837 to 2723 </w:t>
      </w:r>
      <w:r w:rsidR="00C14286" w:rsidRPr="00150B9E">
        <w:t>meter above sea level an</w:t>
      </w:r>
      <w:r w:rsidRPr="00150B9E">
        <w:t xml:space="preserve">d an annual average rainfall ranging from 700 to 1712 mm yr⁻¹. Based on these parameters, the forest can be classified as a moist evergreen </w:t>
      </w:r>
      <w:proofErr w:type="spellStart"/>
      <w:r w:rsidRPr="00150B9E">
        <w:t>afromontane</w:t>
      </w:r>
      <w:proofErr w:type="spellEnd"/>
      <w:r w:rsidRPr="00150B9E">
        <w:t xml:space="preserve"> forest (1500-3400 m) </w:t>
      </w:r>
      <w:r w:rsidR="005A5518">
        <w:t>[4</w:t>
      </w:r>
      <w:r w:rsidR="009C6B61">
        <w:t>5</w:t>
      </w:r>
      <w:r w:rsidR="005A5518">
        <w:t xml:space="preserve">]. </w:t>
      </w:r>
      <w:r w:rsidRPr="00150B9E">
        <w:t xml:space="preserve">In the present study, a total of 42 different woody species belonging to 46 genera and 39 families were identified within 47 quadrats, resulting in </w:t>
      </w:r>
      <w:r w:rsidRPr="00A12A9C">
        <w:t xml:space="preserve">a density of 385 trees ha⁻¹. Measurements of DBH and height ranged from 5 to 410 cm and 5 to 46 m, respectively. These findings align closely with findings from similar studies conducted </w:t>
      </w:r>
      <w:r w:rsidR="00A12A9C" w:rsidRPr="00A12A9C">
        <w:t xml:space="preserve">Ades Forest, Oromia Regional State, West </w:t>
      </w:r>
      <w:proofErr w:type="spellStart"/>
      <w:r w:rsidR="00A12A9C" w:rsidRPr="00A12A9C">
        <w:t>Hararghe</w:t>
      </w:r>
      <w:proofErr w:type="spellEnd"/>
      <w:r w:rsidR="00A12A9C" w:rsidRPr="00A12A9C">
        <w:t xml:space="preserve"> Zone, Ethiopia (46), </w:t>
      </w:r>
      <w:r w:rsidRPr="00A12A9C">
        <w:t xml:space="preserve">and in </w:t>
      </w:r>
      <w:proofErr w:type="spellStart"/>
      <w:r w:rsidRPr="00A12A9C">
        <w:t>Gezha</w:t>
      </w:r>
      <w:proofErr w:type="spellEnd"/>
      <w:r w:rsidRPr="00A12A9C">
        <w:t xml:space="preserve"> Forest, which reported a density of 340 trees ha⁻¹</w:t>
      </w:r>
      <w:r w:rsidR="005A5518" w:rsidRPr="00A12A9C">
        <w:t xml:space="preserve"> [4</w:t>
      </w:r>
      <w:r w:rsidR="009C6B61" w:rsidRPr="00A12A9C">
        <w:t>7</w:t>
      </w:r>
      <w:r w:rsidR="005A5518" w:rsidRPr="00A12A9C">
        <w:t>]</w:t>
      </w:r>
      <w:r w:rsidRPr="00A12A9C">
        <w:t xml:space="preserve">. However, the density observed in this study is lower </w:t>
      </w:r>
      <w:r w:rsidRPr="00150B9E">
        <w:t xml:space="preserve">than that reported in the Lake Hawassa </w:t>
      </w:r>
      <w:r w:rsidRPr="00150B9E">
        <w:lastRenderedPageBreak/>
        <w:t>Watershed (482 trees ha⁻¹)</w:t>
      </w:r>
      <w:r w:rsidR="005A5518">
        <w:t xml:space="preserve"> [</w:t>
      </w:r>
      <w:r w:rsidR="009C6B61">
        <w:t>48</w:t>
      </w:r>
      <w:r w:rsidR="005A5518">
        <w:t>]</w:t>
      </w:r>
      <w:r w:rsidRPr="00150B9E">
        <w:t xml:space="preserve"> and Belete Moist Evergreen Montane Forest (760 trees ha⁻¹) </w:t>
      </w:r>
      <w:r w:rsidR="009C6B61">
        <w:t>[49</w:t>
      </w:r>
      <w:r w:rsidR="005A5518">
        <w:t xml:space="preserve">]. </w:t>
      </w:r>
    </w:p>
    <w:p w14:paraId="6FCE358F" w14:textId="77777777" w:rsidR="0090386B" w:rsidRPr="00150B9E" w:rsidRDefault="0090386B" w:rsidP="000D27B9">
      <w:pPr>
        <w:pStyle w:val="NormalWeb"/>
        <w:spacing w:line="360" w:lineRule="auto"/>
        <w:jc w:val="both"/>
      </w:pPr>
      <w:r w:rsidRPr="00150B9E">
        <w:t xml:space="preserve">The total woody plant species reported in this study (42 species) is lower than </w:t>
      </w:r>
      <w:r w:rsidR="003A7E1E" w:rsidRPr="00150B9E">
        <w:t>statistics</w:t>
      </w:r>
      <w:r w:rsidRPr="00150B9E">
        <w:t xml:space="preserve"> from other dry </w:t>
      </w:r>
      <w:proofErr w:type="spellStart"/>
      <w:r w:rsidRPr="00150B9E">
        <w:t>afromontane</w:t>
      </w:r>
      <w:proofErr w:type="spellEnd"/>
      <w:r w:rsidRPr="00150B9E">
        <w:t xml:space="preserve"> forests in Ethiopia, which have been reported as high as 87 species</w:t>
      </w:r>
      <w:r w:rsidR="009C6B61">
        <w:t xml:space="preserve"> [50</w:t>
      </w:r>
      <w:r w:rsidR="005A5518">
        <w:t>],</w:t>
      </w:r>
      <w:r w:rsidR="008806A5">
        <w:t xml:space="preserve"> </w:t>
      </w:r>
      <w:r w:rsidRPr="00150B9E">
        <w:t xml:space="preserve">70 species </w:t>
      </w:r>
      <w:r w:rsidR="005A5518">
        <w:t>[</w:t>
      </w:r>
      <w:r w:rsidR="009C6B61">
        <w:t>51</w:t>
      </w:r>
      <w:r w:rsidR="005A5518">
        <w:t>]</w:t>
      </w:r>
      <w:r w:rsidRPr="00150B9E">
        <w:t xml:space="preserve">, and 44 species </w:t>
      </w:r>
      <w:r w:rsidR="009C6B61">
        <w:t>[52, 53</w:t>
      </w:r>
      <w:r w:rsidR="005A5518">
        <w:t xml:space="preserve">]. </w:t>
      </w:r>
      <w:r w:rsidRPr="00150B9E">
        <w:t xml:space="preserve">Nonetheless, the species richness observed in this study (42 species) is comparable to the 34 species reported by </w:t>
      </w:r>
      <w:r w:rsidR="00DE603B">
        <w:t>[5</w:t>
      </w:r>
      <w:r w:rsidR="009C6B61">
        <w:t>4</w:t>
      </w:r>
      <w:r w:rsidR="005A5518">
        <w:t xml:space="preserve">] </w:t>
      </w:r>
      <w:r w:rsidRPr="00150B9E">
        <w:t xml:space="preserve">and exceeds the 24 species recorded by </w:t>
      </w:r>
      <w:r w:rsidR="009C6B61">
        <w:t>[55</w:t>
      </w:r>
      <w:r w:rsidR="005A5518">
        <w:t xml:space="preserve">]. </w:t>
      </w:r>
      <w:r w:rsidRPr="00150B9E">
        <w:t xml:space="preserve">The observed low species richness in the Gole forest may be attributed to the dominance of a few key species, such as </w:t>
      </w:r>
      <w:r w:rsidRPr="00150B9E">
        <w:rPr>
          <w:rStyle w:val="Strong"/>
          <w:b w:val="0"/>
          <w:i/>
        </w:rPr>
        <w:t>Olea europaea</w:t>
      </w:r>
      <w:r w:rsidRPr="00150B9E">
        <w:t xml:space="preserve"> subsp. </w:t>
      </w:r>
      <w:proofErr w:type="spellStart"/>
      <w:r w:rsidRPr="00150B9E">
        <w:rPr>
          <w:rStyle w:val="Strong"/>
          <w:b w:val="0"/>
          <w:i/>
        </w:rPr>
        <w:t>cuspidata</w:t>
      </w:r>
      <w:proofErr w:type="spellEnd"/>
      <w:r w:rsidRPr="00150B9E">
        <w:rPr>
          <w:b/>
          <w:i/>
        </w:rPr>
        <w:t xml:space="preserve"> </w:t>
      </w:r>
      <w:r w:rsidRPr="00150B9E">
        <w:t xml:space="preserve">and </w:t>
      </w:r>
      <w:r w:rsidRPr="00150B9E">
        <w:rPr>
          <w:rStyle w:val="Strong"/>
          <w:b w:val="0"/>
          <w:i/>
        </w:rPr>
        <w:t xml:space="preserve">Acacia </w:t>
      </w:r>
      <w:proofErr w:type="spellStart"/>
      <w:r w:rsidRPr="00150B9E">
        <w:rPr>
          <w:rStyle w:val="Strong"/>
          <w:b w:val="0"/>
          <w:i/>
        </w:rPr>
        <w:t>albida</w:t>
      </w:r>
      <w:proofErr w:type="spellEnd"/>
      <w:r w:rsidRPr="00150B9E">
        <w:t xml:space="preserve">, which could inhibit the competitive abilities of less dominant species </w:t>
      </w:r>
      <w:r w:rsidR="009C6B61">
        <w:t>[56</w:t>
      </w:r>
      <w:r w:rsidR="005A5518">
        <w:t>].</w:t>
      </w:r>
      <w:r w:rsidRPr="00150B9E">
        <w:t xml:space="preserve"> Additionally, external factors such as human activities and animal disturbances may further exacerbate this issue. Understanding the species structure and composition of forests is critical for effective management strategies, as it informs economic valuations, regeneration potential </w:t>
      </w:r>
      <w:r w:rsidR="009C6B61">
        <w:t>[57</w:t>
      </w:r>
      <w:r w:rsidR="005A5518">
        <w:t>]</w:t>
      </w:r>
      <w:r w:rsidRPr="00150B9E">
        <w:t xml:space="preserve">, and ultimately aids in the conservation of biological diversity </w:t>
      </w:r>
      <w:r w:rsidR="009C6B61">
        <w:t>[58</w:t>
      </w:r>
      <w:r w:rsidR="005A5518">
        <w:t>].</w:t>
      </w:r>
    </w:p>
    <w:p w14:paraId="54E9AB41" w14:textId="77777777" w:rsidR="002A5477" w:rsidRDefault="0090386B" w:rsidP="000D27B9">
      <w:pPr>
        <w:pStyle w:val="NormalWeb"/>
        <w:spacing w:line="360" w:lineRule="auto"/>
        <w:jc w:val="both"/>
      </w:pPr>
      <w:r w:rsidRPr="00150B9E">
        <w:t>Among woody species</w:t>
      </w:r>
      <w:r w:rsidRPr="00150B9E">
        <w:rPr>
          <w:b/>
          <w:i/>
        </w:rPr>
        <w:t xml:space="preserve">,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was recorded at the highest frequency, appearing in 36 plots (n=272) (Table 1). A study conducted in the </w:t>
      </w:r>
      <w:proofErr w:type="spellStart"/>
      <w:r w:rsidRPr="00150B9E">
        <w:t>Humbo</w:t>
      </w:r>
      <w:proofErr w:type="spellEnd"/>
      <w:r w:rsidRPr="00150B9E">
        <w:t xml:space="preserve"> forest also reported the highest dominance of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with n=1,807 individuals </w:t>
      </w:r>
      <w:r w:rsidR="002A5477">
        <w:t xml:space="preserve">[51]. </w:t>
      </w:r>
      <w:r w:rsidRPr="00150B9E">
        <w:t xml:space="preserve">In comparison to mature tree species (n=385), the present study found a significantly higher density of saplings (n=4,127) and seedlings (n=17,622), indicating that the forest possesses a robust regeneration capacity (i.e., good regeneration with seedlings &gt; saplings &gt; adults). Moreover, studies from various regions have reported similarly high densities of seedlings and saplings. For instance, the Dry Afromontane Forest of </w:t>
      </w:r>
      <w:r w:rsidR="002A5477">
        <w:t xml:space="preserve">Gara Ades recorded seedlings </w:t>
      </w:r>
      <w:r w:rsidRPr="00150B9E">
        <w:t>16,290 ha</w:t>
      </w:r>
      <w:r w:rsidRPr="00150B9E">
        <w:rPr>
          <w:vertAlign w:val="superscript"/>
        </w:rPr>
        <w:t>-1</w:t>
      </w:r>
      <w:r w:rsidRPr="00150B9E">
        <w:t xml:space="preserve"> </w:t>
      </w:r>
      <w:r w:rsidR="002A5477">
        <w:t>[</w:t>
      </w:r>
      <w:r w:rsidR="008806A5">
        <w:t>59</w:t>
      </w:r>
      <w:r w:rsidR="002A5477">
        <w:t>]</w:t>
      </w:r>
      <w:r w:rsidRPr="00150B9E">
        <w:t xml:space="preserve">, while the </w:t>
      </w:r>
      <w:proofErr w:type="spellStart"/>
      <w:r w:rsidRPr="00150B9E">
        <w:t>Munessa-Shashemene</w:t>
      </w:r>
      <w:proofErr w:type="spellEnd"/>
      <w:r w:rsidRPr="00150B9E">
        <w:t xml:space="preserve"> Fo</w:t>
      </w:r>
      <w:r w:rsidR="002A5477">
        <w:t xml:space="preserve">rest had saplings </w:t>
      </w:r>
      <w:r w:rsidRPr="00150B9E">
        <w:t>1,000 ha</w:t>
      </w:r>
      <w:r w:rsidRPr="00150B9E">
        <w:rPr>
          <w:vertAlign w:val="superscript"/>
        </w:rPr>
        <w:t>-1</w:t>
      </w:r>
      <w:r w:rsidR="002A5477">
        <w:t xml:space="preserve"> and seedlings </w:t>
      </w:r>
      <w:r w:rsidRPr="00150B9E">
        <w:t>31,600 ha</w:t>
      </w:r>
      <w:r w:rsidRPr="00150B9E">
        <w:rPr>
          <w:vertAlign w:val="superscript"/>
        </w:rPr>
        <w:t>-1</w:t>
      </w:r>
      <w:r w:rsidRPr="00150B9E">
        <w:t xml:space="preserve"> </w:t>
      </w:r>
      <w:r w:rsidR="00823991">
        <w:t>[6</w:t>
      </w:r>
      <w:r w:rsidR="008806A5">
        <w:t>0</w:t>
      </w:r>
      <w:r w:rsidR="002A5477">
        <w:t>].</w:t>
      </w:r>
      <w:r w:rsidRPr="00150B9E">
        <w:t xml:space="preserve"> In the </w:t>
      </w:r>
      <w:proofErr w:type="spellStart"/>
      <w:r w:rsidRPr="00150B9E">
        <w:t>Menagesha</w:t>
      </w:r>
      <w:proofErr w:type="spellEnd"/>
      <w:r w:rsidRPr="00150B9E">
        <w:t xml:space="preserve"> </w:t>
      </w:r>
      <w:proofErr w:type="spellStart"/>
      <w:r w:rsidRPr="00150B9E">
        <w:t>Suba</w:t>
      </w:r>
      <w:proofErr w:type="spellEnd"/>
      <w:r w:rsidRPr="00150B9E">
        <w:t xml:space="preserve"> Forest, seedlings were n</w:t>
      </w:r>
      <w:r w:rsidR="002A5477">
        <w:t xml:space="preserve">oted at a staggering density </w:t>
      </w:r>
      <w:r w:rsidRPr="00150B9E">
        <w:t>32,650 ha</w:t>
      </w:r>
      <w:r w:rsidRPr="00150B9E">
        <w:rPr>
          <w:vertAlign w:val="superscript"/>
        </w:rPr>
        <w:t xml:space="preserve">-1 </w:t>
      </w:r>
      <w:r w:rsidR="008806A5">
        <w:t>[61</w:t>
      </w:r>
      <w:r w:rsidR="002A5477">
        <w:t>].</w:t>
      </w:r>
    </w:p>
    <w:p w14:paraId="235BC3A4" w14:textId="77777777" w:rsidR="0090386B" w:rsidRPr="00150B9E" w:rsidRDefault="0090386B" w:rsidP="000D27B9">
      <w:pPr>
        <w:pStyle w:val="NormalWeb"/>
        <w:spacing w:line="360" w:lineRule="auto"/>
        <w:jc w:val="both"/>
      </w:pPr>
      <w:r w:rsidRPr="00150B9E">
        <w:t xml:space="preserve">Analysis based on Diameter at Breast Height (DBH) and height classes carried out for tree species of the forest site exhibited distinct patterns. Variations in species population structure can indicate underlying differences in population dynamics </w:t>
      </w:r>
      <w:r w:rsidR="008806A5">
        <w:t>[62, 63</w:t>
      </w:r>
      <w:r w:rsidR="002A5477">
        <w:t xml:space="preserve">]. </w:t>
      </w:r>
      <w:r w:rsidRPr="00150B9E">
        <w:t xml:space="preserve">In the Gole community-managed forest, woody species were classified into nine DBH and six height classes to illustrate the size and age distribution of tree species in the area. Of the total 1,257 trees measured, over 50% were located in the first two DBH classes (DBH 1-&lt;5 cm and ≥5–20 cm). Generally, the </w:t>
      </w:r>
      <w:r w:rsidRPr="00150B9E">
        <w:lastRenderedPageBreak/>
        <w:t xml:space="preserve">distribution of DBH classes in the study area indicated that tree density decreased as DBH class size increased, with the exception of the DBH class &gt;20-40 cm. Correspondingly, over 80% of woody species were found in the lower height class (&lt;15 cm), and only a small fraction, around 0.5%, attained a height of 45 m or above. Thus, tree density demonstrated a decreasing trend as height increased. The distribution patterns of DBH and height classes reflected an inverted J-shaped curve, denoting a predominance of individuals in lower size classes. Similar patterns have been reported in various studies across different forest types, including community forests in the Mid Hill Region </w:t>
      </w:r>
      <w:r w:rsidR="008806A5">
        <w:t>[64, 65</w:t>
      </w:r>
      <w:r w:rsidR="002A5477">
        <w:t xml:space="preserve">], </w:t>
      </w:r>
      <w:r w:rsidRPr="00150B9E">
        <w:t xml:space="preserve">Gera Moist Montane Forest </w:t>
      </w:r>
      <w:r w:rsidR="00823991">
        <w:t>[67, 68</w:t>
      </w:r>
      <w:r w:rsidR="002A5477">
        <w:t>]</w:t>
      </w:r>
      <w:r w:rsidRPr="00150B9E">
        <w:t xml:space="preserve"> and Gesh Moist Afromontane Forest </w:t>
      </w:r>
      <w:r w:rsidR="002A5477">
        <w:t>[</w:t>
      </w:r>
      <w:r w:rsidR="00061FC8">
        <w:t>67, 69</w:t>
      </w:r>
      <w:r w:rsidR="002A5477">
        <w:t>]</w:t>
      </w:r>
      <w:r w:rsidR="00CA7AB4">
        <w:t>.</w:t>
      </w:r>
      <w:r w:rsidRPr="00150B9E">
        <w:t xml:space="preserve"> Furthermore, the DBH and height class distribution suggested a high rate of regeneration; however, the minimal density of trees in higher DBH and height classes may be attributed to selective thinning practices prevalent in the area.</w:t>
      </w:r>
    </w:p>
    <w:p w14:paraId="126D3B0E" w14:textId="77777777" w:rsidR="0090386B" w:rsidRPr="00150B9E" w:rsidRDefault="002B1D68" w:rsidP="002B1D68">
      <w:pPr>
        <w:pStyle w:val="NormalWeb"/>
        <w:numPr>
          <w:ilvl w:val="0"/>
          <w:numId w:val="33"/>
        </w:numPr>
        <w:spacing w:line="360" w:lineRule="auto"/>
        <w:jc w:val="both"/>
        <w:rPr>
          <w:b/>
        </w:rPr>
      </w:pPr>
      <w:r w:rsidRPr="00150B9E">
        <w:rPr>
          <w:b/>
        </w:rPr>
        <w:t xml:space="preserve">CONCLUSION AND RECOMMENDATION </w:t>
      </w:r>
    </w:p>
    <w:p w14:paraId="037F3EB6" w14:textId="77777777" w:rsidR="0090386B" w:rsidRPr="00150B9E" w:rsidRDefault="0090386B"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The Gole Community Managed Forest has revealed a diverse array of plant species, comprising a total of 52 different species across 46 genera and 39 families, with </w:t>
      </w:r>
      <w:proofErr w:type="spellStart"/>
      <w:r w:rsidRPr="00150B9E">
        <w:rPr>
          <w:rFonts w:ascii="Times New Roman" w:eastAsia="Times New Roman" w:hAnsi="Times New Roman" w:cs="Times New Roman"/>
          <w:i/>
          <w:sz w:val="24"/>
          <w:szCs w:val="24"/>
        </w:rPr>
        <w:t>Euphorbiaceae</w:t>
      </w:r>
      <w:proofErr w:type="spellEnd"/>
      <w:r w:rsidRPr="00150B9E">
        <w:rPr>
          <w:rFonts w:ascii="Times New Roman" w:eastAsia="Times New Roman" w:hAnsi="Times New Roman" w:cs="Times New Roman"/>
          <w:sz w:val="24"/>
          <w:szCs w:val="24"/>
        </w:rPr>
        <w:t xml:space="preserve"> and </w:t>
      </w:r>
      <w:proofErr w:type="spellStart"/>
      <w:r w:rsidRPr="00150B9E">
        <w:rPr>
          <w:rFonts w:ascii="Times New Roman" w:eastAsia="Times New Roman" w:hAnsi="Times New Roman" w:cs="Times New Roman"/>
          <w:i/>
          <w:sz w:val="24"/>
          <w:szCs w:val="24"/>
        </w:rPr>
        <w:t>Celasteraceae</w:t>
      </w:r>
      <w:proofErr w:type="spellEnd"/>
      <w:r w:rsidRPr="00150B9E">
        <w:rPr>
          <w:rFonts w:ascii="Times New Roman" w:eastAsia="Times New Roman" w:hAnsi="Times New Roman" w:cs="Times New Roman"/>
          <w:sz w:val="24"/>
          <w:szCs w:val="24"/>
        </w:rPr>
        <w:t xml:space="preserve"> identified as the predominant families. The presence of 52 woody species indicates a relatively rich floral composition. The analysis of the cumulative diameter and height class frequency distributions of these woody individuals exhibited a bell-shaped pattern, suggesting that the density of woody species is highest in the middle diameter and height classes, tapering off in bot</w:t>
      </w:r>
      <w:r w:rsidR="006850E1" w:rsidRPr="00150B9E">
        <w:rPr>
          <w:rFonts w:ascii="Times New Roman" w:eastAsia="Times New Roman" w:hAnsi="Times New Roman" w:cs="Times New Roman"/>
          <w:sz w:val="24"/>
          <w:szCs w:val="24"/>
        </w:rPr>
        <w:t xml:space="preserve">h the lower and higher classes. </w:t>
      </w:r>
      <w:r w:rsidRPr="00150B9E">
        <w:rPr>
          <w:rFonts w:ascii="Times New Roman" w:eastAsia="Times New Roman" w:hAnsi="Times New Roman" w:cs="Times New Roman"/>
          <w:sz w:val="24"/>
          <w:szCs w:val="24"/>
        </w:rPr>
        <w:t>The total basal area for the Gole Community Managed Forest was measured at 168.1532 m² ha</w:t>
      </w:r>
      <w:r w:rsidRPr="00150B9E">
        <w:rPr>
          <w:rFonts w:ascii="Times New Roman" w:eastAsia="Times New Roman" w:hAnsi="Times New Roman" w:cs="Times New Roman"/>
          <w:sz w:val="24"/>
          <w:szCs w:val="24"/>
          <w:vertAlign w:val="superscript"/>
        </w:rPr>
        <w:t>−1</w:t>
      </w:r>
      <w:r w:rsidRPr="00150B9E">
        <w:rPr>
          <w:rFonts w:ascii="Times New Roman" w:eastAsia="Times New Roman" w:hAnsi="Times New Roman" w:cs="Times New Roman"/>
          <w:sz w:val="24"/>
          <w:szCs w:val="24"/>
        </w:rPr>
        <w:t xml:space="preserve">, but only a few species showed significant basal area and density. Notably, </w:t>
      </w:r>
      <w:r w:rsidRPr="00150B9E">
        <w:rPr>
          <w:rFonts w:ascii="Times New Roman" w:eastAsia="Times New Roman" w:hAnsi="Times New Roman" w:cs="Times New Roman"/>
          <w:i/>
          <w:sz w:val="24"/>
          <w:szCs w:val="24"/>
        </w:rPr>
        <w:t xml:space="preserve">Olea europaea </w:t>
      </w:r>
      <w:r w:rsidRPr="00150B9E">
        <w:rPr>
          <w:rFonts w:ascii="Times New Roman" w:eastAsia="Times New Roman" w:hAnsi="Times New Roman" w:cs="Times New Roman"/>
          <w:sz w:val="24"/>
          <w:szCs w:val="24"/>
        </w:rPr>
        <w:t xml:space="preserve">subsp. </w:t>
      </w:r>
      <w:proofErr w:type="spellStart"/>
      <w:r w:rsidRPr="00150B9E">
        <w:rPr>
          <w:rFonts w:ascii="Times New Roman" w:eastAsia="Times New Roman" w:hAnsi="Times New Roman" w:cs="Times New Roman"/>
          <w:i/>
          <w:sz w:val="24"/>
          <w:szCs w:val="24"/>
        </w:rPr>
        <w:t>cuspidata</w:t>
      </w:r>
      <w:proofErr w:type="spellEnd"/>
      <w:r w:rsidRPr="00150B9E">
        <w:rPr>
          <w:rFonts w:ascii="Times New Roman" w:eastAsia="Times New Roman" w:hAnsi="Times New Roman" w:cs="Times New Roman"/>
          <w:i/>
          <w:sz w:val="24"/>
          <w:szCs w:val="24"/>
        </w:rPr>
        <w:t xml:space="preserve">, Acacia </w:t>
      </w:r>
      <w:proofErr w:type="spellStart"/>
      <w:r w:rsidRPr="00150B9E">
        <w:rPr>
          <w:rFonts w:ascii="Times New Roman" w:eastAsia="Times New Roman" w:hAnsi="Times New Roman" w:cs="Times New Roman"/>
          <w:i/>
          <w:sz w:val="24"/>
          <w:szCs w:val="24"/>
        </w:rPr>
        <w:t>albida</w:t>
      </w:r>
      <w:proofErr w:type="spellEnd"/>
      <w:r w:rsidRPr="00150B9E">
        <w:rPr>
          <w:rFonts w:ascii="Times New Roman" w:eastAsia="Times New Roman" w:hAnsi="Times New Roman" w:cs="Times New Roman"/>
          <w:i/>
          <w:sz w:val="24"/>
          <w:szCs w:val="24"/>
        </w:rPr>
        <w:t xml:space="preserve">, </w:t>
      </w:r>
      <w:proofErr w:type="spellStart"/>
      <w:r w:rsidRPr="00150B9E">
        <w:rPr>
          <w:rFonts w:ascii="Times New Roman" w:eastAsia="Times New Roman" w:hAnsi="Times New Roman" w:cs="Times New Roman"/>
          <w:i/>
          <w:sz w:val="24"/>
          <w:szCs w:val="24"/>
        </w:rPr>
        <w:t>Pittosporum</w:t>
      </w:r>
      <w:proofErr w:type="spellEnd"/>
      <w:r w:rsidRPr="00150B9E">
        <w:rPr>
          <w:rFonts w:ascii="Times New Roman" w:eastAsia="Times New Roman" w:hAnsi="Times New Roman" w:cs="Times New Roman"/>
          <w:i/>
          <w:sz w:val="24"/>
          <w:szCs w:val="24"/>
        </w:rPr>
        <w:t xml:space="preserve"> </w:t>
      </w:r>
      <w:proofErr w:type="spellStart"/>
      <w:r w:rsidRPr="00150B9E">
        <w:rPr>
          <w:rFonts w:ascii="Times New Roman" w:eastAsia="Times New Roman" w:hAnsi="Times New Roman" w:cs="Times New Roman"/>
          <w:i/>
          <w:sz w:val="24"/>
          <w:szCs w:val="24"/>
        </w:rPr>
        <w:t>viridiflorum</w:t>
      </w:r>
      <w:proofErr w:type="spellEnd"/>
      <w:r w:rsidRPr="00150B9E">
        <w:rPr>
          <w:rFonts w:ascii="Times New Roman" w:eastAsia="Times New Roman" w:hAnsi="Times New Roman" w:cs="Times New Roman"/>
          <w:sz w:val="24"/>
          <w:szCs w:val="24"/>
        </w:rPr>
        <w:t xml:space="preserve">, and </w:t>
      </w:r>
      <w:proofErr w:type="spellStart"/>
      <w:r w:rsidRPr="00150B9E">
        <w:rPr>
          <w:rFonts w:ascii="Times New Roman" w:eastAsia="Times New Roman" w:hAnsi="Times New Roman" w:cs="Times New Roman"/>
          <w:i/>
          <w:sz w:val="24"/>
          <w:szCs w:val="24"/>
        </w:rPr>
        <w:t>Allophylus</w:t>
      </w:r>
      <w:proofErr w:type="spellEnd"/>
      <w:r w:rsidRPr="00150B9E">
        <w:rPr>
          <w:rFonts w:ascii="Times New Roman" w:eastAsia="Times New Roman" w:hAnsi="Times New Roman" w:cs="Times New Roman"/>
          <w:i/>
          <w:sz w:val="24"/>
          <w:szCs w:val="24"/>
        </w:rPr>
        <w:t xml:space="preserve"> </w:t>
      </w:r>
      <w:proofErr w:type="spellStart"/>
      <w:r w:rsidRPr="00150B9E">
        <w:rPr>
          <w:rFonts w:ascii="Times New Roman" w:eastAsia="Times New Roman" w:hAnsi="Times New Roman" w:cs="Times New Roman"/>
          <w:i/>
          <w:sz w:val="24"/>
          <w:szCs w:val="24"/>
        </w:rPr>
        <w:t>abyssinicus</w:t>
      </w:r>
      <w:proofErr w:type="spellEnd"/>
      <w:r w:rsidRPr="00150B9E">
        <w:rPr>
          <w:rFonts w:ascii="Times New Roman" w:eastAsia="Times New Roman" w:hAnsi="Times New Roman" w:cs="Times New Roman"/>
          <w:sz w:val="24"/>
          <w:szCs w:val="24"/>
        </w:rPr>
        <w:t xml:space="preserve"> accounted for approximately 62.45% of the Importance Value Index (IVI). In contrast, many woody species exhibited low IVI, such as </w:t>
      </w:r>
      <w:r w:rsidRPr="00150B9E">
        <w:rPr>
          <w:rFonts w:ascii="Times New Roman" w:eastAsia="Times New Roman" w:hAnsi="Times New Roman" w:cs="Times New Roman"/>
          <w:i/>
          <w:sz w:val="24"/>
          <w:szCs w:val="24"/>
        </w:rPr>
        <w:t>Grewia bicolor</w:t>
      </w:r>
      <w:r w:rsidRPr="00150B9E">
        <w:rPr>
          <w:rFonts w:ascii="Times New Roman" w:eastAsia="Times New Roman" w:hAnsi="Times New Roman" w:cs="Times New Roman"/>
          <w:sz w:val="24"/>
          <w:szCs w:val="24"/>
        </w:rPr>
        <w:t xml:space="preserve"> and </w:t>
      </w:r>
      <w:r w:rsidRPr="00150B9E">
        <w:rPr>
          <w:rFonts w:ascii="Times New Roman" w:eastAsia="Times New Roman" w:hAnsi="Times New Roman" w:cs="Times New Roman"/>
          <w:i/>
          <w:sz w:val="24"/>
          <w:szCs w:val="24"/>
        </w:rPr>
        <w:t>Leucaena leucocephala</w:t>
      </w:r>
      <w:r w:rsidRPr="00150B9E">
        <w:rPr>
          <w:rFonts w:ascii="Times New Roman" w:eastAsia="Times New Roman" w:hAnsi="Times New Roman" w:cs="Times New Roman"/>
          <w:sz w:val="24"/>
          <w:szCs w:val="24"/>
        </w:rPr>
        <w:t>, indicating a need for focused conservation and management efforts.</w:t>
      </w:r>
    </w:p>
    <w:p w14:paraId="43958F8E" w14:textId="77777777" w:rsidR="006850E1" w:rsidRDefault="0090386B"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The forest also displays a promising abundance of seedlings and saplings, suggesting a healthy regeneration process. Seedling density was found to be the highest among the different growth stages, followed by saplings and mature trees. This indicates to a relatively robust regeneration status for the woody species in the area. Recent shifts in forest management practices in Ethiopia have transitioned from traditional methods to community based participatory management </w:t>
      </w:r>
      <w:r w:rsidRPr="00150B9E">
        <w:rPr>
          <w:rFonts w:ascii="Times New Roman" w:eastAsia="Times New Roman" w:hAnsi="Times New Roman" w:cs="Times New Roman"/>
          <w:sz w:val="24"/>
          <w:szCs w:val="24"/>
        </w:rPr>
        <w:lastRenderedPageBreak/>
        <w:t xml:space="preserve">systems, aiming to enhance the regeneration of certain woody </w:t>
      </w:r>
      <w:r w:rsidR="006850E1" w:rsidRPr="00150B9E">
        <w:rPr>
          <w:rFonts w:ascii="Times New Roman" w:eastAsia="Times New Roman" w:hAnsi="Times New Roman" w:cs="Times New Roman"/>
          <w:sz w:val="24"/>
          <w:szCs w:val="24"/>
        </w:rPr>
        <w:t xml:space="preserve">species within this study area. </w:t>
      </w:r>
      <w:r w:rsidRPr="00150B9E">
        <w:rPr>
          <w:rFonts w:ascii="Times New Roman" w:eastAsia="Times New Roman" w:hAnsi="Times New Roman" w:cs="Times New Roman"/>
          <w:sz w:val="24"/>
          <w:szCs w:val="24"/>
        </w:rPr>
        <w:t>However, the overall assessment of vegetation indicates a worrying decline in woody species due to deforestation, highlighting the threats facing the forest. This underscores the urgent need for the implementation of effective conservation strategies to protect the forest and promote the sustainable use of its biodiversity resources.</w:t>
      </w:r>
    </w:p>
    <w:p w14:paraId="5BB10058" w14:textId="77777777" w:rsidR="00EB4FD5" w:rsidRPr="00EB4FD5" w:rsidRDefault="00EB4FD5" w:rsidP="000D27B9">
      <w:pPr>
        <w:spacing w:before="100" w:beforeAutospacing="1" w:after="100" w:afterAutospacing="1" w:line="360" w:lineRule="auto"/>
        <w:jc w:val="both"/>
        <w:rPr>
          <w:rFonts w:ascii="Times New Roman" w:eastAsia="Times New Roman" w:hAnsi="Times New Roman" w:cs="Times New Roman"/>
          <w:b/>
          <w:sz w:val="24"/>
          <w:szCs w:val="24"/>
        </w:rPr>
      </w:pPr>
      <w:r w:rsidRPr="00EB4FD5">
        <w:rPr>
          <w:rFonts w:ascii="Times New Roman" w:eastAsia="Times New Roman" w:hAnsi="Times New Roman" w:cs="Times New Roman"/>
          <w:b/>
          <w:sz w:val="24"/>
          <w:szCs w:val="24"/>
        </w:rPr>
        <w:t>DISCLAIMER (ARTIFICIAL INTELLIGENCE)</w:t>
      </w:r>
    </w:p>
    <w:p w14:paraId="30670DEE" w14:textId="77777777" w:rsidR="00EB4FD5" w:rsidRDefault="00EB4FD5" w:rsidP="000D27B9">
      <w:pPr>
        <w:spacing w:before="100" w:beforeAutospacing="1" w:after="100" w:afterAutospacing="1" w:line="360" w:lineRule="auto"/>
        <w:jc w:val="both"/>
        <w:rPr>
          <w:rFonts w:ascii="Times New Roman" w:eastAsia="Times New Roman" w:hAnsi="Times New Roman" w:cs="Times New Roman"/>
          <w:sz w:val="24"/>
          <w:szCs w:val="24"/>
        </w:rPr>
      </w:pPr>
      <w:r w:rsidRPr="00EB4FD5">
        <w:rPr>
          <w:rFonts w:ascii="Times New Roman" w:eastAsia="Times New Roman" w:hAnsi="Times New Roman" w:cs="Times New Roman"/>
          <w:sz w:val="24"/>
          <w:szCs w:val="24"/>
        </w:rPr>
        <w:t>Author(s) hereb</w:t>
      </w:r>
      <w:r>
        <w:rPr>
          <w:rFonts w:ascii="Times New Roman" w:eastAsia="Times New Roman" w:hAnsi="Times New Roman" w:cs="Times New Roman"/>
          <w:sz w:val="24"/>
          <w:szCs w:val="24"/>
        </w:rPr>
        <w:t xml:space="preserve">y declare that NO generative AI </w:t>
      </w:r>
      <w:r w:rsidRPr="00EB4FD5">
        <w:rPr>
          <w:rFonts w:ascii="Times New Roman" w:eastAsia="Times New Roman" w:hAnsi="Times New Roman" w:cs="Times New Roman"/>
          <w:sz w:val="24"/>
          <w:szCs w:val="24"/>
        </w:rPr>
        <w:t>technologie</w:t>
      </w:r>
      <w:r>
        <w:rPr>
          <w:rFonts w:ascii="Times New Roman" w:eastAsia="Times New Roman" w:hAnsi="Times New Roman" w:cs="Times New Roman"/>
          <w:sz w:val="24"/>
          <w:szCs w:val="24"/>
        </w:rPr>
        <w:t xml:space="preserve">s such as Large Language Models </w:t>
      </w:r>
      <w:r w:rsidRPr="00EB4FD5">
        <w:rPr>
          <w:rFonts w:ascii="Times New Roman" w:eastAsia="Times New Roman" w:hAnsi="Times New Roman" w:cs="Times New Roman"/>
          <w:sz w:val="24"/>
          <w:szCs w:val="24"/>
        </w:rPr>
        <w:t>(</w:t>
      </w:r>
      <w:proofErr w:type="spellStart"/>
      <w:r w:rsidRPr="00EB4FD5">
        <w:rPr>
          <w:rFonts w:ascii="Times New Roman" w:eastAsia="Times New Roman" w:hAnsi="Times New Roman" w:cs="Times New Roman"/>
          <w:sz w:val="24"/>
          <w:szCs w:val="24"/>
        </w:rPr>
        <w:t>ChatGPT</w:t>
      </w:r>
      <w:proofErr w:type="spellEnd"/>
      <w:r w:rsidRPr="00EB4F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COPILOT,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and text-to-image </w:t>
      </w:r>
      <w:r w:rsidRPr="00EB4FD5">
        <w:rPr>
          <w:rFonts w:ascii="Times New Roman" w:eastAsia="Times New Roman" w:hAnsi="Times New Roman" w:cs="Times New Roman"/>
          <w:sz w:val="24"/>
          <w:szCs w:val="24"/>
        </w:rPr>
        <w:t>generators h</w:t>
      </w:r>
      <w:r>
        <w:rPr>
          <w:rFonts w:ascii="Times New Roman" w:eastAsia="Times New Roman" w:hAnsi="Times New Roman" w:cs="Times New Roman"/>
          <w:sz w:val="24"/>
          <w:szCs w:val="24"/>
        </w:rPr>
        <w:t xml:space="preserve">ave been used during writing or </w:t>
      </w:r>
      <w:r w:rsidRPr="00EB4FD5">
        <w:rPr>
          <w:rFonts w:ascii="Times New Roman" w:eastAsia="Times New Roman" w:hAnsi="Times New Roman" w:cs="Times New Roman"/>
          <w:sz w:val="24"/>
          <w:szCs w:val="24"/>
        </w:rPr>
        <w:t>editing of this manuscript.</w:t>
      </w:r>
    </w:p>
    <w:p w14:paraId="0BABCDDC" w14:textId="6D822618" w:rsidR="0090386B" w:rsidRPr="00EB4FD5" w:rsidRDefault="0090386B"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vanish/>
          <w:sz w:val="24"/>
          <w:szCs w:val="24"/>
        </w:rPr>
        <w:t>Bottom of Form</w:t>
      </w:r>
    </w:p>
    <w:p w14:paraId="590537CE" w14:textId="77777777" w:rsidR="00153EE8" w:rsidRPr="00150B9E" w:rsidRDefault="00153EE8" w:rsidP="000D27B9">
      <w:pPr>
        <w:pStyle w:val="Heading3"/>
        <w:spacing w:line="360" w:lineRule="auto"/>
        <w:rPr>
          <w:sz w:val="24"/>
          <w:szCs w:val="24"/>
        </w:rPr>
      </w:pPr>
      <w:r w:rsidRPr="00150B9E">
        <w:rPr>
          <w:sz w:val="24"/>
          <w:szCs w:val="24"/>
        </w:rPr>
        <w:t>REFERENCE</w:t>
      </w:r>
    </w:p>
    <w:p w14:paraId="383AAD3B"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Mafors, J. P., et al. </w:t>
      </w:r>
      <w:r w:rsidRPr="00771436">
        <w:rPr>
          <w:rFonts w:ascii="Times New Roman" w:hAnsi="Times New Roman" w:cs="Times New Roman"/>
          <w:sz w:val="24"/>
          <w:szCs w:val="24"/>
        </w:rPr>
        <w:t>(2010). The role of local communities in forest governance. </w:t>
      </w:r>
      <w:r w:rsidRPr="00771436">
        <w:rPr>
          <w:rStyle w:val="Emphasis"/>
          <w:rFonts w:ascii="Times New Roman" w:hAnsi="Times New Roman" w:cs="Times New Roman"/>
          <w:sz w:val="24"/>
          <w:szCs w:val="24"/>
        </w:rPr>
        <w:t>International Forestry Review</w:t>
      </w:r>
      <w:r w:rsidRPr="00771436">
        <w:rPr>
          <w:rFonts w:ascii="Times New Roman" w:hAnsi="Times New Roman" w:cs="Times New Roman"/>
          <w:sz w:val="24"/>
          <w:szCs w:val="24"/>
        </w:rPr>
        <w:t>, 12(1), 88-103.</w:t>
      </w:r>
    </w:p>
    <w:p w14:paraId="3E1490A4"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Kothari, A., et al. (2013). Community-based conservation in the context of climate change. </w:t>
      </w:r>
      <w:r w:rsidRPr="00771436">
        <w:rPr>
          <w:rStyle w:val="Emphasis"/>
          <w:rFonts w:ascii="Times New Roman" w:hAnsi="Times New Roman" w:cs="Times New Roman"/>
          <w:sz w:val="24"/>
          <w:szCs w:val="24"/>
        </w:rPr>
        <w:t>Conservation and Society</w:t>
      </w:r>
      <w:r w:rsidRPr="00771436">
        <w:rPr>
          <w:rFonts w:ascii="Times New Roman" w:hAnsi="Times New Roman" w:cs="Times New Roman"/>
          <w:sz w:val="24"/>
          <w:szCs w:val="24"/>
        </w:rPr>
        <w:t>, 11(2), 151-167</w:t>
      </w:r>
    </w:p>
    <w:p w14:paraId="35FDC61C"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Chao, A., et al. (2015). Biodiversity assessment and conservation priorities in forest ecosystems. </w:t>
      </w:r>
      <w:r w:rsidRPr="00771436">
        <w:rPr>
          <w:rStyle w:val="Emphasis"/>
          <w:rFonts w:ascii="Times New Roman" w:hAnsi="Times New Roman" w:cs="Times New Roman"/>
          <w:sz w:val="24"/>
          <w:szCs w:val="24"/>
        </w:rPr>
        <w:t>Forest Ecology and Management</w:t>
      </w:r>
      <w:r w:rsidRPr="00771436">
        <w:rPr>
          <w:rFonts w:ascii="Times New Roman" w:hAnsi="Times New Roman" w:cs="Times New Roman"/>
          <w:sz w:val="24"/>
          <w:szCs w:val="24"/>
        </w:rPr>
        <w:t>, 347, 12-25.</w:t>
      </w:r>
    </w:p>
    <w:p w14:paraId="63A5F48A"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Le, V., et al. (2019). Understanding the contribution of woody species to forest structure and ecosystem services. </w:t>
      </w:r>
      <w:r w:rsidRPr="00771436">
        <w:rPr>
          <w:rStyle w:val="Emphasis"/>
          <w:rFonts w:ascii="Times New Roman" w:hAnsi="Times New Roman" w:cs="Times New Roman"/>
          <w:sz w:val="24"/>
          <w:szCs w:val="24"/>
        </w:rPr>
        <w:t>Ecosystem Services</w:t>
      </w:r>
      <w:r w:rsidRPr="00771436">
        <w:rPr>
          <w:rFonts w:ascii="Times New Roman" w:hAnsi="Times New Roman" w:cs="Times New Roman"/>
          <w:sz w:val="24"/>
          <w:szCs w:val="24"/>
        </w:rPr>
        <w:t>, 39, 100962.</w:t>
      </w:r>
    </w:p>
    <w:p w14:paraId="70A34033"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Jacob, J., et al. (2021). A systematic review of community-managed forests and their value for biodiversity. </w:t>
      </w:r>
      <w:r w:rsidRPr="00771436">
        <w:rPr>
          <w:rStyle w:val="Emphasis"/>
          <w:rFonts w:ascii="Times New Roman" w:hAnsi="Times New Roman" w:cs="Times New Roman"/>
          <w:sz w:val="24"/>
          <w:szCs w:val="24"/>
        </w:rPr>
        <w:t>Environmental Conservation</w:t>
      </w:r>
      <w:r w:rsidRPr="00771436">
        <w:rPr>
          <w:rFonts w:ascii="Times New Roman" w:hAnsi="Times New Roman" w:cs="Times New Roman"/>
          <w:sz w:val="24"/>
          <w:szCs w:val="24"/>
        </w:rPr>
        <w:t>, 48(4), 328-340.</w:t>
      </w:r>
    </w:p>
    <w:p w14:paraId="41E2DE36"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Kattan, G. H., &amp; Alvarez, E. (2014). </w:t>
      </w:r>
      <w:r w:rsidRPr="00771436">
        <w:rPr>
          <w:rFonts w:ascii="Times New Roman" w:hAnsi="Times New Roman" w:cs="Times New Roman"/>
          <w:sz w:val="24"/>
          <w:szCs w:val="24"/>
        </w:rPr>
        <w:t>Forest structure and biodiversity: insights from tropical rainforests. </w:t>
      </w:r>
      <w:r w:rsidRPr="00771436">
        <w:rPr>
          <w:rStyle w:val="Emphasis"/>
          <w:rFonts w:ascii="Times New Roman" w:hAnsi="Times New Roman" w:cs="Times New Roman"/>
          <w:sz w:val="24"/>
          <w:szCs w:val="24"/>
        </w:rPr>
        <w:t>Biological Conservation</w:t>
      </w:r>
      <w:r w:rsidRPr="00771436">
        <w:rPr>
          <w:rFonts w:ascii="Times New Roman" w:hAnsi="Times New Roman" w:cs="Times New Roman"/>
          <w:sz w:val="24"/>
          <w:szCs w:val="24"/>
        </w:rPr>
        <w:t>, 178, 209-214.</w:t>
      </w:r>
    </w:p>
    <w:p w14:paraId="377396DC"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Swain, P. S., et al. (2022). Structural attributes of forests and their implications for biodiversity conservation. </w:t>
      </w:r>
      <w:r w:rsidRPr="00771436">
        <w:rPr>
          <w:rStyle w:val="Emphasis"/>
          <w:rFonts w:ascii="Times New Roman" w:hAnsi="Times New Roman" w:cs="Times New Roman"/>
          <w:sz w:val="24"/>
          <w:szCs w:val="24"/>
        </w:rPr>
        <w:t>Forest Ecology and Management</w:t>
      </w:r>
      <w:r w:rsidRPr="00771436">
        <w:rPr>
          <w:rFonts w:ascii="Times New Roman" w:hAnsi="Times New Roman" w:cs="Times New Roman"/>
          <w:sz w:val="24"/>
          <w:szCs w:val="24"/>
        </w:rPr>
        <w:t>, 506, 119925.</w:t>
      </w:r>
    </w:p>
    <w:p w14:paraId="686F3635"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Duarte, A., et al. (2020). Vertical stratification effects on biodiversity in tropical forests. </w:t>
      </w:r>
      <w:r w:rsidRPr="00771436">
        <w:rPr>
          <w:rStyle w:val="Emphasis"/>
          <w:rFonts w:ascii="Times New Roman" w:hAnsi="Times New Roman" w:cs="Times New Roman"/>
          <w:sz w:val="24"/>
          <w:szCs w:val="24"/>
        </w:rPr>
        <w:t>Journal of Ecology</w:t>
      </w:r>
      <w:r w:rsidRPr="00771436">
        <w:rPr>
          <w:rFonts w:ascii="Times New Roman" w:hAnsi="Times New Roman" w:cs="Times New Roman"/>
          <w:sz w:val="24"/>
          <w:szCs w:val="24"/>
        </w:rPr>
        <w:t>, 108(6), 2050-2062.</w:t>
      </w:r>
    </w:p>
    <w:p w14:paraId="0D7F899D"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lastRenderedPageBreak/>
        <w:t>Ribeiro, J., et al. (2023). Habitat complexity and its role in supporting biodiversity in managed forests. </w:t>
      </w:r>
      <w:r w:rsidRPr="00771436">
        <w:rPr>
          <w:rStyle w:val="Emphasis"/>
          <w:rFonts w:ascii="Times New Roman" w:hAnsi="Times New Roman" w:cs="Times New Roman"/>
          <w:sz w:val="24"/>
          <w:szCs w:val="24"/>
        </w:rPr>
        <w:t>Ecological Indicators</w:t>
      </w:r>
      <w:r w:rsidRPr="00771436">
        <w:rPr>
          <w:rFonts w:ascii="Times New Roman" w:hAnsi="Times New Roman" w:cs="Times New Roman"/>
          <w:sz w:val="24"/>
          <w:szCs w:val="24"/>
        </w:rPr>
        <w:t>, 145, 109674.</w:t>
      </w:r>
    </w:p>
    <w:p w14:paraId="70CF1743"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Santos, A. F., et al. </w:t>
      </w:r>
      <w:r w:rsidRPr="00771436">
        <w:rPr>
          <w:rFonts w:ascii="Times New Roman" w:hAnsi="Times New Roman" w:cs="Times New Roman"/>
          <w:sz w:val="24"/>
          <w:szCs w:val="24"/>
        </w:rPr>
        <w:t>(2019). Evaluating seedling dynamics in forest regeneration. </w:t>
      </w:r>
      <w:r w:rsidRPr="00771436">
        <w:rPr>
          <w:rStyle w:val="Emphasis"/>
          <w:rFonts w:ascii="Times New Roman" w:hAnsi="Times New Roman" w:cs="Times New Roman"/>
          <w:sz w:val="24"/>
          <w:szCs w:val="24"/>
        </w:rPr>
        <w:t>Forest Ecology and Management</w:t>
      </w:r>
      <w:r w:rsidRPr="00771436">
        <w:rPr>
          <w:rFonts w:ascii="Times New Roman" w:hAnsi="Times New Roman" w:cs="Times New Roman"/>
          <w:sz w:val="24"/>
          <w:szCs w:val="24"/>
        </w:rPr>
        <w:t>, 449, 117469.</w:t>
      </w:r>
    </w:p>
    <w:p w14:paraId="53BC4D44"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Garcia, L., et al. (2024). Regeneration patterns of key forest species: Implications for conservation. </w:t>
      </w:r>
      <w:r w:rsidRPr="00771436">
        <w:rPr>
          <w:rStyle w:val="Emphasis"/>
          <w:rFonts w:ascii="Times New Roman" w:hAnsi="Times New Roman" w:cs="Times New Roman"/>
          <w:sz w:val="24"/>
          <w:szCs w:val="24"/>
        </w:rPr>
        <w:t>Journal of Sustainable Forestry</w:t>
      </w:r>
      <w:r w:rsidRPr="00771436">
        <w:rPr>
          <w:rFonts w:ascii="Times New Roman" w:hAnsi="Times New Roman" w:cs="Times New Roman"/>
          <w:sz w:val="24"/>
          <w:szCs w:val="24"/>
        </w:rPr>
        <w:t>, 43(1), 10-20.</w:t>
      </w:r>
    </w:p>
    <w:p w14:paraId="79ED0124"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Chakraborty, S., Dutta, A., &amp; Mandal, S. (2023). </w:t>
      </w:r>
      <w:r w:rsidRPr="00771436">
        <w:rPr>
          <w:rStyle w:val="Emphasis"/>
          <w:rFonts w:ascii="Times New Roman" w:hAnsi="Times New Roman" w:cs="Times New Roman"/>
          <w:sz w:val="24"/>
          <w:szCs w:val="24"/>
        </w:rPr>
        <w:t>Floristic Composition and Ecological Status of Forests in Eastern India</w:t>
      </w:r>
      <w:r w:rsidRPr="00771436">
        <w:rPr>
          <w:rFonts w:ascii="Times New Roman" w:hAnsi="Times New Roman" w:cs="Times New Roman"/>
          <w:sz w:val="24"/>
          <w:szCs w:val="24"/>
        </w:rPr>
        <w:t>. Journal of Forest Research, 45(2), 123-136.</w:t>
      </w:r>
    </w:p>
    <w:p w14:paraId="1451C14F"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Kumar, A., Singh, R., &amp; Yadav, P. (2022). </w:t>
      </w:r>
      <w:r w:rsidRPr="00771436">
        <w:rPr>
          <w:rStyle w:val="Emphasis"/>
          <w:rFonts w:ascii="Times New Roman" w:hAnsi="Times New Roman" w:cs="Times New Roman"/>
          <w:sz w:val="24"/>
          <w:szCs w:val="24"/>
        </w:rPr>
        <w:t>Impact of Forest Structure on Biodiversity Conservation</w:t>
      </w:r>
      <w:r w:rsidRPr="00771436">
        <w:rPr>
          <w:rFonts w:ascii="Times New Roman" w:hAnsi="Times New Roman" w:cs="Times New Roman"/>
          <w:sz w:val="24"/>
          <w:szCs w:val="24"/>
        </w:rPr>
        <w:t xml:space="preserve">. </w:t>
      </w:r>
      <w:r w:rsidRPr="00771436">
        <w:rPr>
          <w:rFonts w:ascii="Times New Roman" w:hAnsi="Times New Roman" w:cs="Times New Roman"/>
          <w:i/>
          <w:sz w:val="24"/>
          <w:szCs w:val="24"/>
        </w:rPr>
        <w:t>Biodiversity and Conservation</w:t>
      </w:r>
      <w:r w:rsidRPr="00771436">
        <w:rPr>
          <w:rFonts w:ascii="Times New Roman" w:hAnsi="Times New Roman" w:cs="Times New Roman"/>
          <w:sz w:val="24"/>
          <w:szCs w:val="24"/>
        </w:rPr>
        <w:t>, 31(4), 567-580.</w:t>
      </w:r>
    </w:p>
    <w:p w14:paraId="1F71B7A9"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Gonzalez, M., Duran, M., &amp; Ruiz, A. (2021). </w:t>
      </w:r>
      <w:r w:rsidRPr="00771436">
        <w:rPr>
          <w:rStyle w:val="Emphasis"/>
          <w:rFonts w:ascii="Times New Roman" w:hAnsi="Times New Roman" w:cs="Times New Roman"/>
          <w:sz w:val="24"/>
          <w:szCs w:val="24"/>
        </w:rPr>
        <w:t>Identification of Economically Important Species in Tropical Forests</w:t>
      </w:r>
      <w:r w:rsidRPr="00771436">
        <w:rPr>
          <w:rFonts w:ascii="Times New Roman" w:hAnsi="Times New Roman" w:cs="Times New Roman"/>
          <w:sz w:val="24"/>
          <w:szCs w:val="24"/>
        </w:rPr>
        <w:t xml:space="preserve">. </w:t>
      </w:r>
      <w:r w:rsidRPr="00771436">
        <w:rPr>
          <w:rFonts w:ascii="Times New Roman" w:hAnsi="Times New Roman" w:cs="Times New Roman"/>
          <w:i/>
          <w:sz w:val="24"/>
          <w:szCs w:val="24"/>
        </w:rPr>
        <w:t>Tropical Ecology</w:t>
      </w:r>
      <w:r w:rsidRPr="00771436">
        <w:rPr>
          <w:rFonts w:ascii="Times New Roman" w:hAnsi="Times New Roman" w:cs="Times New Roman"/>
          <w:sz w:val="24"/>
          <w:szCs w:val="24"/>
        </w:rPr>
        <w:t>, 62(1), 45-61.</w:t>
      </w:r>
    </w:p>
    <w:p w14:paraId="689F9E91"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Lee, T., Kim, J., &amp; Park, H. (2024). </w:t>
      </w:r>
      <w:r w:rsidRPr="00771436">
        <w:rPr>
          <w:rStyle w:val="Emphasis"/>
          <w:rFonts w:ascii="Times New Roman" w:hAnsi="Times New Roman" w:cs="Times New Roman"/>
          <w:sz w:val="24"/>
          <w:szCs w:val="24"/>
        </w:rPr>
        <w:t>Forest Regeneration Patterns in Northern Temperate Regions</w:t>
      </w:r>
      <w:r w:rsidRPr="00771436">
        <w:rPr>
          <w:rFonts w:ascii="Times New Roman" w:hAnsi="Times New Roman" w:cs="Times New Roman"/>
          <w:sz w:val="24"/>
          <w:szCs w:val="24"/>
        </w:rPr>
        <w:t>. Forest Ecology and Management, 509, 120-135.</w:t>
      </w:r>
    </w:p>
    <w:p w14:paraId="4E930827"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Smith, J., &amp; Johnson, L. (2020). </w:t>
      </w:r>
      <w:r w:rsidRPr="00771436">
        <w:rPr>
          <w:rStyle w:val="Emphasis"/>
          <w:rFonts w:ascii="Times New Roman" w:hAnsi="Times New Roman" w:cs="Times New Roman"/>
          <w:sz w:val="24"/>
          <w:szCs w:val="24"/>
        </w:rPr>
        <w:t>Community-Based Conservation: Challenges and Opportunities in Forest Management</w:t>
      </w:r>
      <w:r w:rsidRPr="00771436">
        <w:rPr>
          <w:rFonts w:ascii="Times New Roman" w:hAnsi="Times New Roman" w:cs="Times New Roman"/>
          <w:sz w:val="24"/>
          <w:szCs w:val="24"/>
        </w:rPr>
        <w:t>. Conservation Biology, 34(3), 675-686.</w:t>
      </w:r>
    </w:p>
    <w:p w14:paraId="79AC9416" w14:textId="77777777" w:rsidR="00B806DC" w:rsidRPr="00771436" w:rsidRDefault="00D06B83"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 xml:space="preserve">Kent, M. and Coker, P (1992). Vegetation Description and Analysis </w:t>
      </w:r>
      <w:proofErr w:type="spellStart"/>
      <w:r w:rsidRPr="00771436">
        <w:rPr>
          <w:rFonts w:ascii="Times New Roman" w:eastAsia="Times New Roman" w:hAnsi="Times New Roman" w:cs="Times New Roman"/>
          <w:sz w:val="24"/>
          <w:szCs w:val="24"/>
        </w:rPr>
        <w:t>Belhave</w:t>
      </w:r>
      <w:proofErr w:type="spellEnd"/>
      <w:r w:rsidRPr="00771436">
        <w:rPr>
          <w:rFonts w:ascii="Times New Roman" w:eastAsia="Times New Roman" w:hAnsi="Times New Roman" w:cs="Times New Roman"/>
          <w:sz w:val="24"/>
          <w:szCs w:val="24"/>
        </w:rPr>
        <w:t xml:space="preserve"> press London pp. 363.</w:t>
      </w:r>
    </w:p>
    <w:p w14:paraId="6CB9FA9D" w14:textId="77777777" w:rsidR="00B806DC" w:rsidRPr="00771436" w:rsidRDefault="00B806DC" w:rsidP="00771436">
      <w:pPr>
        <w:pStyle w:val="ListParagraph"/>
        <w:numPr>
          <w:ilvl w:val="0"/>
          <w:numId w:val="35"/>
        </w:numPr>
        <w:tabs>
          <w:tab w:val="left" w:pos="450"/>
          <w:tab w:val="left" w:pos="1965"/>
        </w:tabs>
        <w:spacing w:before="100" w:beforeAutospacing="1" w:after="100" w:afterAutospacing="1" w:line="360" w:lineRule="auto"/>
        <w:ind w:left="360"/>
        <w:jc w:val="both"/>
        <w:rPr>
          <w:rFonts w:ascii="Times New Roman" w:hAnsi="Times New Roman" w:cs="Times New Roman"/>
          <w:sz w:val="24"/>
          <w:szCs w:val="24"/>
          <w:shd w:val="clear" w:color="auto" w:fill="FFFFFF"/>
        </w:rPr>
      </w:pPr>
      <w:proofErr w:type="spellStart"/>
      <w:r w:rsidRPr="00771436">
        <w:rPr>
          <w:rFonts w:ascii="Times New Roman" w:hAnsi="Times New Roman" w:cs="Times New Roman"/>
          <w:sz w:val="24"/>
          <w:szCs w:val="24"/>
          <w:shd w:val="clear" w:color="auto" w:fill="FFFFFF"/>
        </w:rPr>
        <w:t>Azene</w:t>
      </w:r>
      <w:proofErr w:type="spellEnd"/>
      <w:r w:rsidRPr="00771436">
        <w:rPr>
          <w:rFonts w:ascii="Times New Roman" w:hAnsi="Times New Roman" w:cs="Times New Roman"/>
          <w:sz w:val="24"/>
          <w:szCs w:val="24"/>
          <w:shd w:val="clear" w:color="auto" w:fill="FFFFFF"/>
        </w:rPr>
        <w:t xml:space="preserve"> </w:t>
      </w:r>
      <w:proofErr w:type="spellStart"/>
      <w:r w:rsidRPr="00771436">
        <w:rPr>
          <w:rFonts w:ascii="Times New Roman" w:hAnsi="Times New Roman" w:cs="Times New Roman"/>
          <w:sz w:val="24"/>
          <w:szCs w:val="24"/>
          <w:shd w:val="clear" w:color="auto" w:fill="FFFFFF"/>
        </w:rPr>
        <w:t>Bekele</w:t>
      </w:r>
      <w:proofErr w:type="spellEnd"/>
      <w:r w:rsidRPr="00771436">
        <w:rPr>
          <w:rFonts w:ascii="Times New Roman" w:hAnsi="Times New Roman" w:cs="Times New Roman"/>
          <w:sz w:val="24"/>
          <w:szCs w:val="24"/>
          <w:shd w:val="clear" w:color="auto" w:fill="FFFFFF"/>
        </w:rPr>
        <w:t xml:space="preserve">, T., Birnie, A. and </w:t>
      </w:r>
      <w:proofErr w:type="spellStart"/>
      <w:r w:rsidRPr="00771436">
        <w:rPr>
          <w:rFonts w:ascii="Times New Roman" w:hAnsi="Times New Roman" w:cs="Times New Roman"/>
          <w:sz w:val="24"/>
          <w:szCs w:val="24"/>
          <w:shd w:val="clear" w:color="auto" w:fill="FFFFFF"/>
        </w:rPr>
        <w:t>Tengbna</w:t>
      </w:r>
      <w:proofErr w:type="spellEnd"/>
      <w:r w:rsidRPr="00771436">
        <w:rPr>
          <w:rFonts w:ascii="Times New Roman" w:hAnsi="Times New Roman" w:cs="Times New Roman"/>
          <w:sz w:val="24"/>
          <w:szCs w:val="24"/>
          <w:shd w:val="clear" w:color="auto" w:fill="FFFFFF"/>
        </w:rPr>
        <w:t xml:space="preserve">, B. (1993) Useful Trees and Shrubs for Ethiopia. Identification, Propagation and Management for Agricultural and Pastoral Communities: Regional Soil Conservation Unit (RSCU), Swedish International. </w:t>
      </w:r>
    </w:p>
    <w:p w14:paraId="35D04528" w14:textId="77777777" w:rsidR="00B806DC" w:rsidRPr="00771436" w:rsidRDefault="00B806DC" w:rsidP="00771436">
      <w:pPr>
        <w:pStyle w:val="ListParagraph"/>
        <w:numPr>
          <w:ilvl w:val="0"/>
          <w:numId w:val="35"/>
        </w:numPr>
        <w:tabs>
          <w:tab w:val="left" w:pos="450"/>
          <w:tab w:val="left" w:pos="1965"/>
        </w:tabs>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shd w:val="clear" w:color="auto" w:fill="FFFFFF"/>
        </w:rPr>
        <w:t xml:space="preserve">Ermias, D., (2011). Natural Database for Africa (NDA) On CDROM Version 2.0: </w:t>
      </w:r>
      <w:r w:rsidRPr="00771436">
        <w:rPr>
          <w:rFonts w:ascii="Times New Roman" w:hAnsi="Times New Roman" w:cs="Times New Roman"/>
          <w:i/>
          <w:iCs/>
          <w:sz w:val="24"/>
          <w:szCs w:val="24"/>
          <w:shd w:val="clear" w:color="auto" w:fill="FFFFFF"/>
        </w:rPr>
        <w:t>Addis Ababa University, Ethiopian</w:t>
      </w:r>
      <w:r w:rsidRPr="00771436">
        <w:rPr>
          <w:rFonts w:ascii="Times New Roman" w:hAnsi="Times New Roman" w:cs="Times New Roman"/>
          <w:sz w:val="24"/>
          <w:szCs w:val="24"/>
          <w:shd w:val="clear" w:color="auto" w:fill="FFFFFF"/>
        </w:rPr>
        <w:t xml:space="preserve">. </w:t>
      </w:r>
    </w:p>
    <w:p w14:paraId="11F9ED92"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Fisaha</w:t>
      </w:r>
      <w:proofErr w:type="spellEnd"/>
      <w:r w:rsidRPr="00771436">
        <w:rPr>
          <w:rFonts w:ascii="Times New Roman" w:hAnsi="Times New Roman" w:cs="Times New Roman"/>
          <w:sz w:val="24"/>
          <w:szCs w:val="24"/>
        </w:rPr>
        <w:t xml:space="preserve"> G, </w:t>
      </w:r>
      <w:proofErr w:type="spellStart"/>
      <w:r w:rsidRPr="00771436">
        <w:rPr>
          <w:rFonts w:ascii="Times New Roman" w:hAnsi="Times New Roman" w:cs="Times New Roman"/>
          <w:sz w:val="24"/>
          <w:szCs w:val="24"/>
        </w:rPr>
        <w:t>Hundera</w:t>
      </w:r>
      <w:proofErr w:type="spellEnd"/>
      <w:r w:rsidRPr="00771436">
        <w:rPr>
          <w:rFonts w:ascii="Times New Roman" w:hAnsi="Times New Roman" w:cs="Times New Roman"/>
          <w:sz w:val="24"/>
          <w:szCs w:val="24"/>
        </w:rPr>
        <w:t xml:space="preserve"> K, Dalle, G. Woody plants' diversity, structural and regeneration status of </w:t>
      </w:r>
      <w:proofErr w:type="spellStart"/>
      <w:r w:rsidRPr="00771436">
        <w:rPr>
          <w:rFonts w:ascii="Times New Roman" w:hAnsi="Times New Roman" w:cs="Times New Roman"/>
          <w:sz w:val="24"/>
          <w:szCs w:val="24"/>
        </w:rPr>
        <w:t>Wof</w:t>
      </w:r>
      <w:proofErr w:type="spellEnd"/>
      <w:r w:rsidRPr="00771436">
        <w:rPr>
          <w:rFonts w:ascii="Times New Roman" w:hAnsi="Times New Roman" w:cs="Times New Roman"/>
          <w:sz w:val="24"/>
          <w:szCs w:val="24"/>
        </w:rPr>
        <w:t xml:space="preserve"> </w:t>
      </w:r>
      <w:proofErr w:type="spellStart"/>
      <w:r w:rsidRPr="00771436">
        <w:rPr>
          <w:rFonts w:ascii="Times New Roman" w:hAnsi="Times New Roman" w:cs="Times New Roman"/>
          <w:sz w:val="24"/>
          <w:szCs w:val="24"/>
        </w:rPr>
        <w:t>Washa</w:t>
      </w:r>
      <w:proofErr w:type="spellEnd"/>
      <w:r w:rsidRPr="00771436">
        <w:rPr>
          <w:rFonts w:ascii="Times New Roman" w:hAnsi="Times New Roman" w:cs="Times New Roman"/>
          <w:sz w:val="24"/>
          <w:szCs w:val="24"/>
        </w:rPr>
        <w:t xml:space="preserve"> natural forest, North-east Ethiopia. </w:t>
      </w:r>
      <w:r w:rsidRPr="00771436">
        <w:rPr>
          <w:rFonts w:ascii="Times New Roman" w:hAnsi="Times New Roman" w:cs="Times New Roman"/>
          <w:i/>
          <w:sz w:val="24"/>
          <w:szCs w:val="24"/>
        </w:rPr>
        <w:t>Journal of Ecology</w:t>
      </w:r>
      <w:r w:rsidRPr="00771436">
        <w:rPr>
          <w:rFonts w:ascii="Times New Roman" w:hAnsi="Times New Roman" w:cs="Times New Roman"/>
          <w:sz w:val="24"/>
          <w:szCs w:val="24"/>
        </w:rPr>
        <w:t>. 2013;51 (4):599-608.</w:t>
      </w:r>
    </w:p>
    <w:p w14:paraId="3C1BABF1"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Pielou</w:t>
      </w:r>
      <w:proofErr w:type="spellEnd"/>
      <w:r w:rsidRPr="00771436">
        <w:rPr>
          <w:rFonts w:ascii="Times New Roman" w:hAnsi="Times New Roman" w:cs="Times New Roman"/>
          <w:sz w:val="24"/>
          <w:szCs w:val="24"/>
        </w:rPr>
        <w:t xml:space="preserve"> EC. The measurement of diversity in different types of biological collections. Statistical Research Service, Canada Department of Agriculture, Ottawa. Ontario, Canada. J. Theoret. Biol. 1966;13: 131-144. </w:t>
      </w:r>
    </w:p>
    <w:p w14:paraId="0CA01558" w14:textId="77777777" w:rsidR="00B806DC" w:rsidRPr="00771436" w:rsidRDefault="00D42F87"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Mueller-</w:t>
      </w:r>
      <w:proofErr w:type="spellStart"/>
      <w:r w:rsidRPr="00771436">
        <w:rPr>
          <w:rFonts w:ascii="Times New Roman" w:eastAsia="Times New Roman" w:hAnsi="Times New Roman" w:cs="Times New Roman"/>
          <w:sz w:val="24"/>
          <w:szCs w:val="24"/>
        </w:rPr>
        <w:t>Dombois</w:t>
      </w:r>
      <w:proofErr w:type="spellEnd"/>
      <w:r w:rsidRPr="00771436">
        <w:rPr>
          <w:rFonts w:ascii="Times New Roman" w:eastAsia="Times New Roman" w:hAnsi="Times New Roman" w:cs="Times New Roman"/>
          <w:sz w:val="24"/>
          <w:szCs w:val="24"/>
        </w:rPr>
        <w:t xml:space="preserve">, D., 1974. Aims and methods of vegetation ecology. </w:t>
      </w:r>
      <w:r w:rsidRPr="00771436">
        <w:rPr>
          <w:rFonts w:ascii="Times New Roman" w:eastAsia="Times New Roman" w:hAnsi="Times New Roman" w:cs="Times New Roman"/>
          <w:i/>
          <w:iCs/>
          <w:sz w:val="24"/>
          <w:szCs w:val="24"/>
        </w:rPr>
        <w:t>John Willy &amp; Sons</w:t>
      </w:r>
      <w:r w:rsidRPr="00771436">
        <w:rPr>
          <w:rFonts w:ascii="Times New Roman" w:eastAsia="Times New Roman" w:hAnsi="Times New Roman" w:cs="Times New Roman"/>
          <w:sz w:val="24"/>
          <w:szCs w:val="24"/>
        </w:rPr>
        <w:t>.</w:t>
      </w:r>
    </w:p>
    <w:p w14:paraId="745F8DCF" w14:textId="77777777" w:rsidR="00B6311D" w:rsidRPr="00771436" w:rsidRDefault="00B6311D" w:rsidP="00771436">
      <w:pPr>
        <w:pStyle w:val="ListParagraph"/>
        <w:numPr>
          <w:ilvl w:val="0"/>
          <w:numId w:val="35"/>
        </w:numPr>
        <w:tabs>
          <w:tab w:val="left" w:pos="90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lastRenderedPageBreak/>
        <w:t>Dhaulkhandi</w:t>
      </w:r>
      <w:proofErr w:type="spellEnd"/>
      <w:r w:rsidRPr="00771436">
        <w:rPr>
          <w:rFonts w:ascii="Times New Roman" w:eastAsia="Times New Roman" w:hAnsi="Times New Roman" w:cs="Times New Roman"/>
          <w:sz w:val="24"/>
          <w:szCs w:val="24"/>
        </w:rPr>
        <w:t>, M., Dobhal, A., Batt, S. and Kumar, M. (2008). Community structures are Regeneration potential of Natural Forest site in Gangotri, India. Journal of Basic and Applied sciences 4(1): 49-5</w:t>
      </w:r>
    </w:p>
    <w:p w14:paraId="10D02AEC"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t>Tiwari</w:t>
      </w:r>
      <w:proofErr w:type="spellEnd"/>
      <w:r w:rsidRPr="00771436">
        <w:rPr>
          <w:rFonts w:ascii="Times New Roman" w:eastAsia="Times New Roman" w:hAnsi="Times New Roman" w:cs="Times New Roman"/>
          <w:sz w:val="24"/>
          <w:szCs w:val="24"/>
        </w:rPr>
        <w:t xml:space="preserve">, B.K., </w:t>
      </w:r>
      <w:proofErr w:type="spellStart"/>
      <w:r w:rsidRPr="00771436">
        <w:rPr>
          <w:rFonts w:ascii="Times New Roman" w:eastAsia="Times New Roman" w:hAnsi="Times New Roman" w:cs="Times New Roman"/>
          <w:sz w:val="24"/>
          <w:szCs w:val="24"/>
        </w:rPr>
        <w:t>Tynsong</w:t>
      </w:r>
      <w:proofErr w:type="spellEnd"/>
      <w:r w:rsidRPr="00771436">
        <w:rPr>
          <w:rFonts w:ascii="Times New Roman" w:eastAsia="Times New Roman" w:hAnsi="Times New Roman" w:cs="Times New Roman"/>
          <w:sz w:val="24"/>
          <w:szCs w:val="24"/>
        </w:rPr>
        <w:t xml:space="preserve">, H., </w:t>
      </w:r>
      <w:proofErr w:type="spellStart"/>
      <w:r w:rsidRPr="00771436">
        <w:rPr>
          <w:rFonts w:ascii="Times New Roman" w:eastAsia="Times New Roman" w:hAnsi="Times New Roman" w:cs="Times New Roman"/>
          <w:sz w:val="24"/>
          <w:szCs w:val="24"/>
        </w:rPr>
        <w:t>Lynrah</w:t>
      </w:r>
      <w:proofErr w:type="spellEnd"/>
      <w:r w:rsidRPr="00771436">
        <w:rPr>
          <w:rFonts w:ascii="Times New Roman" w:eastAsia="Times New Roman" w:hAnsi="Times New Roman" w:cs="Times New Roman"/>
          <w:sz w:val="24"/>
          <w:szCs w:val="24"/>
        </w:rPr>
        <w:t xml:space="preserve">, M.M., </w:t>
      </w:r>
      <w:proofErr w:type="spellStart"/>
      <w:r w:rsidRPr="00771436">
        <w:rPr>
          <w:rFonts w:ascii="Times New Roman" w:eastAsia="Times New Roman" w:hAnsi="Times New Roman" w:cs="Times New Roman"/>
          <w:sz w:val="24"/>
          <w:szCs w:val="24"/>
        </w:rPr>
        <w:t>Lapasam</w:t>
      </w:r>
      <w:proofErr w:type="spellEnd"/>
      <w:r w:rsidRPr="00771436">
        <w:rPr>
          <w:rFonts w:ascii="Times New Roman" w:eastAsia="Times New Roman" w:hAnsi="Times New Roman" w:cs="Times New Roman"/>
          <w:sz w:val="24"/>
          <w:szCs w:val="24"/>
        </w:rPr>
        <w:t xml:space="preserve">, E., Deb, S. and Sharma, D., 2013. Institutional arrangement and typology of community forests of Meghalaya, Mizoram and Nagaland of North-East India. </w:t>
      </w:r>
      <w:r w:rsidRPr="00771436">
        <w:rPr>
          <w:rFonts w:ascii="Times New Roman" w:eastAsia="Times New Roman" w:hAnsi="Times New Roman" w:cs="Times New Roman"/>
          <w:i/>
          <w:iCs/>
          <w:sz w:val="24"/>
          <w:szCs w:val="24"/>
        </w:rPr>
        <w:t>Journal of Forestry Research</w:t>
      </w:r>
      <w:r w:rsidRPr="00771436">
        <w:rPr>
          <w:rFonts w:ascii="Times New Roman" w:eastAsia="Times New Roman" w:hAnsi="Times New Roman" w:cs="Times New Roman"/>
          <w:sz w:val="24"/>
          <w:szCs w:val="24"/>
        </w:rPr>
        <w:t xml:space="preserve">, </w:t>
      </w:r>
      <w:r w:rsidRPr="00771436">
        <w:rPr>
          <w:rFonts w:ascii="Times New Roman" w:eastAsia="Times New Roman" w:hAnsi="Times New Roman" w:cs="Times New Roman"/>
          <w:i/>
          <w:iCs/>
          <w:sz w:val="24"/>
          <w:szCs w:val="24"/>
        </w:rPr>
        <w:t>24</w:t>
      </w:r>
      <w:r w:rsidRPr="00771436">
        <w:rPr>
          <w:rFonts w:ascii="Times New Roman" w:eastAsia="Times New Roman" w:hAnsi="Times New Roman" w:cs="Times New Roman"/>
          <w:sz w:val="24"/>
          <w:szCs w:val="24"/>
        </w:rPr>
        <w:t>, pp.179-186.</w:t>
      </w:r>
    </w:p>
    <w:p w14:paraId="1D0B68CB"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t>Ayalew</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Sebsibe</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Tegene</w:t>
      </w:r>
      <w:proofErr w:type="spellEnd"/>
      <w:r w:rsidRPr="00771436">
        <w:rPr>
          <w:rFonts w:ascii="Times New Roman" w:eastAsia="Times New Roman" w:hAnsi="Times New Roman" w:cs="Times New Roman"/>
          <w:sz w:val="24"/>
          <w:szCs w:val="24"/>
        </w:rPr>
        <w:t xml:space="preserve">, A.S.T., </w:t>
      </w:r>
      <w:proofErr w:type="spellStart"/>
      <w:r w:rsidRPr="00771436">
        <w:rPr>
          <w:rFonts w:ascii="Times New Roman" w:eastAsia="Times New Roman" w:hAnsi="Times New Roman" w:cs="Times New Roman"/>
          <w:sz w:val="24"/>
          <w:szCs w:val="24"/>
        </w:rPr>
        <w:t>Feleke</w:t>
      </w:r>
      <w:proofErr w:type="spellEnd"/>
      <w:r w:rsidRPr="00771436">
        <w:rPr>
          <w:rFonts w:ascii="Times New Roman" w:eastAsia="Times New Roman" w:hAnsi="Times New Roman" w:cs="Times New Roman"/>
          <w:sz w:val="24"/>
          <w:szCs w:val="24"/>
        </w:rPr>
        <w:t xml:space="preserve"> Woldeyes Gamo, F.W.G. and Simon </w:t>
      </w:r>
      <w:proofErr w:type="spellStart"/>
      <w:r w:rsidRPr="00771436">
        <w:rPr>
          <w:rFonts w:ascii="Times New Roman" w:eastAsia="Times New Roman" w:hAnsi="Times New Roman" w:cs="Times New Roman"/>
          <w:sz w:val="24"/>
          <w:szCs w:val="24"/>
        </w:rPr>
        <w:t>Shibru</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Cheche</w:t>
      </w:r>
      <w:proofErr w:type="spellEnd"/>
      <w:r w:rsidRPr="00771436">
        <w:rPr>
          <w:rFonts w:ascii="Times New Roman" w:eastAsia="Times New Roman" w:hAnsi="Times New Roman" w:cs="Times New Roman"/>
          <w:sz w:val="24"/>
          <w:szCs w:val="24"/>
        </w:rPr>
        <w:t xml:space="preserve">, S.S.C., 2018. Woody vegetation composition, structure, and community types of </w:t>
      </w:r>
      <w:proofErr w:type="spellStart"/>
      <w:r w:rsidRPr="00771436">
        <w:rPr>
          <w:rFonts w:ascii="Times New Roman" w:eastAsia="Times New Roman" w:hAnsi="Times New Roman" w:cs="Times New Roman"/>
          <w:sz w:val="24"/>
          <w:szCs w:val="24"/>
        </w:rPr>
        <w:t>Doshke</w:t>
      </w:r>
      <w:proofErr w:type="spellEnd"/>
      <w:r w:rsidRPr="00771436">
        <w:rPr>
          <w:rFonts w:ascii="Times New Roman" w:eastAsia="Times New Roman" w:hAnsi="Times New Roman" w:cs="Times New Roman"/>
          <w:sz w:val="24"/>
          <w:szCs w:val="24"/>
        </w:rPr>
        <w:t xml:space="preserve"> forest in </w:t>
      </w:r>
      <w:proofErr w:type="spellStart"/>
      <w:r w:rsidRPr="00771436">
        <w:rPr>
          <w:rFonts w:ascii="Times New Roman" w:eastAsia="Times New Roman" w:hAnsi="Times New Roman" w:cs="Times New Roman"/>
          <w:sz w:val="24"/>
          <w:szCs w:val="24"/>
        </w:rPr>
        <w:t>Chencha</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Gamo</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Gofa</w:t>
      </w:r>
      <w:proofErr w:type="spellEnd"/>
      <w:r w:rsidRPr="00771436">
        <w:rPr>
          <w:rFonts w:ascii="Times New Roman" w:eastAsia="Times New Roman" w:hAnsi="Times New Roman" w:cs="Times New Roman"/>
          <w:sz w:val="24"/>
          <w:szCs w:val="24"/>
        </w:rPr>
        <w:t xml:space="preserve"> Zone, Ethiopia.</w:t>
      </w:r>
    </w:p>
    <w:p w14:paraId="59BFEB0B"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Kebede</w:t>
      </w:r>
      <w:proofErr w:type="spellEnd"/>
      <w:r w:rsidRPr="00771436">
        <w:rPr>
          <w:rFonts w:ascii="Times New Roman" w:hAnsi="Times New Roman" w:cs="Times New Roman"/>
          <w:sz w:val="24"/>
          <w:szCs w:val="24"/>
        </w:rPr>
        <w:t xml:space="preserve"> M, </w:t>
      </w:r>
      <w:proofErr w:type="spellStart"/>
      <w:r w:rsidRPr="00771436">
        <w:rPr>
          <w:rFonts w:ascii="Times New Roman" w:hAnsi="Times New Roman" w:cs="Times New Roman"/>
          <w:sz w:val="24"/>
          <w:szCs w:val="24"/>
        </w:rPr>
        <w:t>kanninen</w:t>
      </w:r>
      <w:proofErr w:type="spellEnd"/>
      <w:r w:rsidRPr="00771436">
        <w:rPr>
          <w:rFonts w:ascii="Times New Roman" w:hAnsi="Times New Roman" w:cs="Times New Roman"/>
          <w:sz w:val="24"/>
          <w:szCs w:val="24"/>
        </w:rPr>
        <w:t xml:space="preserve"> M, </w:t>
      </w:r>
      <w:proofErr w:type="spellStart"/>
      <w:r w:rsidRPr="00771436">
        <w:rPr>
          <w:rFonts w:ascii="Times New Roman" w:hAnsi="Times New Roman" w:cs="Times New Roman"/>
          <w:sz w:val="24"/>
          <w:szCs w:val="24"/>
        </w:rPr>
        <w:t>Yirdaw</w:t>
      </w:r>
      <w:proofErr w:type="spellEnd"/>
      <w:r w:rsidRPr="00771436">
        <w:rPr>
          <w:rFonts w:ascii="Times New Roman" w:hAnsi="Times New Roman" w:cs="Times New Roman"/>
          <w:sz w:val="24"/>
          <w:szCs w:val="24"/>
        </w:rPr>
        <w:t xml:space="preserve"> E, </w:t>
      </w:r>
      <w:proofErr w:type="spellStart"/>
      <w:r w:rsidRPr="00771436">
        <w:rPr>
          <w:rFonts w:ascii="Times New Roman" w:hAnsi="Times New Roman" w:cs="Times New Roman"/>
          <w:sz w:val="24"/>
          <w:szCs w:val="24"/>
        </w:rPr>
        <w:t>Lemenih</w:t>
      </w:r>
      <w:proofErr w:type="spellEnd"/>
      <w:r w:rsidRPr="00771436">
        <w:rPr>
          <w:rFonts w:ascii="Times New Roman" w:hAnsi="Times New Roman" w:cs="Times New Roman"/>
          <w:sz w:val="24"/>
          <w:szCs w:val="24"/>
        </w:rPr>
        <w:t xml:space="preserve"> M. Vegetation structural characteristics and topographic factors in the remnant moist </w:t>
      </w:r>
      <w:proofErr w:type="spellStart"/>
      <w:r w:rsidRPr="00771436">
        <w:rPr>
          <w:rFonts w:ascii="Times New Roman" w:hAnsi="Times New Roman" w:cs="Times New Roman"/>
          <w:sz w:val="24"/>
          <w:szCs w:val="24"/>
        </w:rPr>
        <w:t>Afromontane</w:t>
      </w:r>
      <w:proofErr w:type="spellEnd"/>
      <w:r w:rsidRPr="00771436">
        <w:rPr>
          <w:rFonts w:ascii="Times New Roman" w:hAnsi="Times New Roman" w:cs="Times New Roman"/>
          <w:sz w:val="24"/>
          <w:szCs w:val="24"/>
        </w:rPr>
        <w:t xml:space="preserve"> forest of </w:t>
      </w:r>
      <w:proofErr w:type="spellStart"/>
      <w:r w:rsidRPr="00771436">
        <w:rPr>
          <w:rFonts w:ascii="Times New Roman" w:hAnsi="Times New Roman" w:cs="Times New Roman"/>
          <w:sz w:val="24"/>
          <w:szCs w:val="24"/>
        </w:rPr>
        <w:t>Wondo</w:t>
      </w:r>
      <w:proofErr w:type="spellEnd"/>
      <w:r w:rsidRPr="00771436">
        <w:rPr>
          <w:rFonts w:ascii="Times New Roman" w:hAnsi="Times New Roman" w:cs="Times New Roman"/>
          <w:sz w:val="24"/>
          <w:szCs w:val="24"/>
        </w:rPr>
        <w:t xml:space="preserve"> Genet, South central Ethiopia. Journal of Forestry Research. 2013;24(3): 419-430</w:t>
      </w:r>
    </w:p>
    <w:p w14:paraId="32A8E0C9"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Abiyu</w:t>
      </w:r>
      <w:proofErr w:type="spellEnd"/>
      <w:r w:rsidRPr="00771436">
        <w:rPr>
          <w:rFonts w:ascii="Times New Roman" w:hAnsi="Times New Roman" w:cs="Times New Roman"/>
          <w:sz w:val="24"/>
          <w:szCs w:val="24"/>
        </w:rPr>
        <w:t xml:space="preserve"> A, </w:t>
      </w:r>
      <w:proofErr w:type="spellStart"/>
      <w:r w:rsidRPr="00771436">
        <w:rPr>
          <w:rFonts w:ascii="Times New Roman" w:hAnsi="Times New Roman" w:cs="Times New Roman"/>
          <w:sz w:val="24"/>
          <w:szCs w:val="24"/>
        </w:rPr>
        <w:t>Lemenih</w:t>
      </w:r>
      <w:proofErr w:type="spellEnd"/>
      <w:r w:rsidRPr="00771436">
        <w:rPr>
          <w:rFonts w:ascii="Times New Roman" w:hAnsi="Times New Roman" w:cs="Times New Roman"/>
          <w:sz w:val="24"/>
          <w:szCs w:val="24"/>
        </w:rPr>
        <w:t xml:space="preserve"> M, Gratzer, G, </w:t>
      </w:r>
      <w:proofErr w:type="spellStart"/>
      <w:r w:rsidRPr="00771436">
        <w:rPr>
          <w:rFonts w:ascii="Times New Roman" w:hAnsi="Times New Roman" w:cs="Times New Roman"/>
          <w:sz w:val="24"/>
          <w:szCs w:val="24"/>
        </w:rPr>
        <w:t>Aerts</w:t>
      </w:r>
      <w:proofErr w:type="spellEnd"/>
      <w:r w:rsidRPr="00771436">
        <w:rPr>
          <w:rFonts w:ascii="Times New Roman" w:hAnsi="Times New Roman" w:cs="Times New Roman"/>
          <w:sz w:val="24"/>
          <w:szCs w:val="24"/>
        </w:rPr>
        <w:t xml:space="preserve">, R, </w:t>
      </w:r>
      <w:proofErr w:type="spellStart"/>
      <w:r w:rsidRPr="00771436">
        <w:rPr>
          <w:rFonts w:ascii="Times New Roman" w:hAnsi="Times New Roman" w:cs="Times New Roman"/>
          <w:sz w:val="24"/>
          <w:szCs w:val="24"/>
        </w:rPr>
        <w:t>Teketay</w:t>
      </w:r>
      <w:proofErr w:type="spellEnd"/>
      <w:r w:rsidRPr="00771436">
        <w:rPr>
          <w:rFonts w:ascii="Times New Roman" w:hAnsi="Times New Roman" w:cs="Times New Roman"/>
          <w:sz w:val="24"/>
          <w:szCs w:val="24"/>
        </w:rPr>
        <w:t xml:space="preserve"> D, </w:t>
      </w:r>
      <w:proofErr w:type="spellStart"/>
      <w:r w:rsidRPr="00771436">
        <w:rPr>
          <w:rFonts w:ascii="Times New Roman" w:hAnsi="Times New Roman" w:cs="Times New Roman"/>
          <w:sz w:val="24"/>
          <w:szCs w:val="24"/>
        </w:rPr>
        <w:t>Glatzel</w:t>
      </w:r>
      <w:proofErr w:type="spellEnd"/>
      <w:r w:rsidRPr="00771436">
        <w:rPr>
          <w:rFonts w:ascii="Times New Roman" w:hAnsi="Times New Roman" w:cs="Times New Roman"/>
          <w:sz w:val="24"/>
          <w:szCs w:val="24"/>
        </w:rPr>
        <w:t xml:space="preserve"> G. Status of native woody species diversity and soil characteristics in an </w:t>
      </w:r>
      <w:proofErr w:type="spellStart"/>
      <w:r w:rsidRPr="00771436">
        <w:rPr>
          <w:rFonts w:ascii="Times New Roman" w:hAnsi="Times New Roman" w:cs="Times New Roman"/>
          <w:sz w:val="24"/>
          <w:szCs w:val="24"/>
        </w:rPr>
        <w:t>Exclosure</w:t>
      </w:r>
      <w:proofErr w:type="spellEnd"/>
      <w:r w:rsidRPr="00771436">
        <w:rPr>
          <w:rFonts w:ascii="Times New Roman" w:hAnsi="Times New Roman" w:cs="Times New Roman"/>
          <w:sz w:val="24"/>
          <w:szCs w:val="24"/>
        </w:rPr>
        <w:t xml:space="preserve"> and in Plantations of Eucalyptus </w:t>
      </w:r>
      <w:proofErr w:type="spellStart"/>
      <w:r w:rsidRPr="00771436">
        <w:rPr>
          <w:rFonts w:ascii="Times New Roman" w:hAnsi="Times New Roman" w:cs="Times New Roman"/>
          <w:sz w:val="24"/>
          <w:szCs w:val="24"/>
        </w:rPr>
        <w:t>globulus</w:t>
      </w:r>
      <w:proofErr w:type="spellEnd"/>
      <w:r w:rsidRPr="00771436">
        <w:rPr>
          <w:rFonts w:ascii="Times New Roman" w:hAnsi="Times New Roman" w:cs="Times New Roman"/>
          <w:sz w:val="24"/>
          <w:szCs w:val="24"/>
        </w:rPr>
        <w:t xml:space="preserve"> and </w:t>
      </w:r>
      <w:proofErr w:type="spellStart"/>
      <w:r w:rsidRPr="00771436">
        <w:rPr>
          <w:rFonts w:ascii="Times New Roman" w:hAnsi="Times New Roman" w:cs="Times New Roman"/>
          <w:sz w:val="24"/>
          <w:szCs w:val="24"/>
        </w:rPr>
        <w:t>Cupressus</w:t>
      </w:r>
      <w:proofErr w:type="spellEnd"/>
      <w:r w:rsidRPr="00771436">
        <w:rPr>
          <w:rFonts w:ascii="Times New Roman" w:hAnsi="Times New Roman" w:cs="Times New Roman"/>
          <w:sz w:val="24"/>
          <w:szCs w:val="24"/>
        </w:rPr>
        <w:t xml:space="preserve"> </w:t>
      </w:r>
      <w:proofErr w:type="spellStart"/>
      <w:r w:rsidRPr="00771436">
        <w:rPr>
          <w:rFonts w:ascii="Times New Roman" w:hAnsi="Times New Roman" w:cs="Times New Roman"/>
          <w:sz w:val="24"/>
          <w:szCs w:val="24"/>
        </w:rPr>
        <w:t>lusitanica</w:t>
      </w:r>
      <w:proofErr w:type="spellEnd"/>
      <w:r w:rsidRPr="00771436">
        <w:rPr>
          <w:rFonts w:ascii="Times New Roman" w:hAnsi="Times New Roman" w:cs="Times New Roman"/>
          <w:sz w:val="24"/>
          <w:szCs w:val="24"/>
        </w:rPr>
        <w:t xml:space="preserve"> in Northern Ethiopia. Mountain Research and Development. 2011;31(2):144-152. </w:t>
      </w:r>
    </w:p>
    <w:p w14:paraId="13C4460E"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Girma</w:t>
      </w:r>
      <w:proofErr w:type="spellEnd"/>
      <w:r w:rsidRPr="00771436">
        <w:rPr>
          <w:rFonts w:ascii="Times New Roman" w:hAnsi="Times New Roman" w:cs="Times New Roman"/>
          <w:sz w:val="24"/>
          <w:szCs w:val="24"/>
        </w:rPr>
        <w:t xml:space="preserve"> A, </w:t>
      </w:r>
      <w:proofErr w:type="spellStart"/>
      <w:r w:rsidRPr="00771436">
        <w:rPr>
          <w:rFonts w:ascii="Times New Roman" w:hAnsi="Times New Roman" w:cs="Times New Roman"/>
          <w:sz w:val="24"/>
          <w:szCs w:val="24"/>
        </w:rPr>
        <w:t>Mosandl</w:t>
      </w:r>
      <w:proofErr w:type="spellEnd"/>
      <w:r w:rsidRPr="00771436">
        <w:rPr>
          <w:rFonts w:ascii="Times New Roman" w:hAnsi="Times New Roman" w:cs="Times New Roman"/>
          <w:sz w:val="24"/>
          <w:szCs w:val="24"/>
        </w:rPr>
        <w:t xml:space="preserve"> R. Structure and Potential Regeneration of Degraded Secondary Stands in </w:t>
      </w:r>
      <w:proofErr w:type="spellStart"/>
      <w:r w:rsidRPr="00771436">
        <w:rPr>
          <w:rFonts w:ascii="Times New Roman" w:hAnsi="Times New Roman" w:cs="Times New Roman"/>
          <w:sz w:val="24"/>
          <w:szCs w:val="24"/>
        </w:rPr>
        <w:t>MunessaShashemene</w:t>
      </w:r>
      <w:proofErr w:type="spellEnd"/>
      <w:r w:rsidRPr="00771436">
        <w:rPr>
          <w:rFonts w:ascii="Times New Roman" w:hAnsi="Times New Roman" w:cs="Times New Roman"/>
          <w:sz w:val="24"/>
          <w:szCs w:val="24"/>
        </w:rPr>
        <w:t xml:space="preserve"> Forest, Ethiopia. </w:t>
      </w:r>
      <w:r w:rsidRPr="00771436">
        <w:rPr>
          <w:rFonts w:ascii="Times New Roman" w:hAnsi="Times New Roman" w:cs="Times New Roman"/>
          <w:i/>
          <w:sz w:val="24"/>
          <w:szCs w:val="24"/>
        </w:rPr>
        <w:t>Journal of Tropical Forest Science</w:t>
      </w:r>
      <w:r w:rsidRPr="00771436">
        <w:rPr>
          <w:rFonts w:ascii="Times New Roman" w:hAnsi="Times New Roman" w:cs="Times New Roman"/>
          <w:sz w:val="24"/>
          <w:szCs w:val="24"/>
        </w:rPr>
        <w:t>. 2012;24(1):46- 53.</w:t>
      </w:r>
    </w:p>
    <w:p w14:paraId="6BC0420D"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t>Gebremicael</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Fisaha</w:t>
      </w:r>
      <w:proofErr w:type="spellEnd"/>
      <w:r w:rsidRPr="00771436">
        <w:rPr>
          <w:rFonts w:ascii="Times New Roman" w:eastAsia="Times New Roman" w:hAnsi="Times New Roman" w:cs="Times New Roman"/>
          <w:sz w:val="24"/>
          <w:szCs w:val="24"/>
        </w:rPr>
        <w:t xml:space="preserve">, G.F., </w:t>
      </w:r>
      <w:proofErr w:type="spellStart"/>
      <w:r w:rsidRPr="00771436">
        <w:rPr>
          <w:rFonts w:ascii="Times New Roman" w:eastAsia="Times New Roman" w:hAnsi="Times New Roman" w:cs="Times New Roman"/>
          <w:sz w:val="24"/>
          <w:szCs w:val="24"/>
        </w:rPr>
        <w:t>Kitessa</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Hundera</w:t>
      </w:r>
      <w:proofErr w:type="spellEnd"/>
      <w:r w:rsidRPr="00771436">
        <w:rPr>
          <w:rFonts w:ascii="Times New Roman" w:eastAsia="Times New Roman" w:hAnsi="Times New Roman" w:cs="Times New Roman"/>
          <w:sz w:val="24"/>
          <w:szCs w:val="24"/>
        </w:rPr>
        <w:t xml:space="preserve">, K.H. and </w:t>
      </w:r>
      <w:proofErr w:type="spellStart"/>
      <w:r w:rsidRPr="00771436">
        <w:rPr>
          <w:rFonts w:ascii="Times New Roman" w:eastAsia="Times New Roman" w:hAnsi="Times New Roman" w:cs="Times New Roman"/>
          <w:sz w:val="24"/>
          <w:szCs w:val="24"/>
        </w:rPr>
        <w:t>Gemedo</w:t>
      </w:r>
      <w:proofErr w:type="spellEnd"/>
      <w:r w:rsidRPr="00771436">
        <w:rPr>
          <w:rFonts w:ascii="Times New Roman" w:eastAsia="Times New Roman" w:hAnsi="Times New Roman" w:cs="Times New Roman"/>
          <w:sz w:val="24"/>
          <w:szCs w:val="24"/>
        </w:rPr>
        <w:t xml:space="preserve"> Dalle, G.D., 2013. Woody plants' diversity, structural analysis and regeneration status of </w:t>
      </w:r>
      <w:proofErr w:type="spellStart"/>
      <w:r w:rsidRPr="00771436">
        <w:rPr>
          <w:rFonts w:ascii="Times New Roman" w:eastAsia="Times New Roman" w:hAnsi="Times New Roman" w:cs="Times New Roman"/>
          <w:sz w:val="24"/>
          <w:szCs w:val="24"/>
        </w:rPr>
        <w:t>Wof</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Washa</w:t>
      </w:r>
      <w:proofErr w:type="spellEnd"/>
      <w:r w:rsidRPr="00771436">
        <w:rPr>
          <w:rFonts w:ascii="Times New Roman" w:eastAsia="Times New Roman" w:hAnsi="Times New Roman" w:cs="Times New Roman"/>
          <w:sz w:val="24"/>
          <w:szCs w:val="24"/>
        </w:rPr>
        <w:t xml:space="preserve"> natural forest, North-east Ethiopia.</w:t>
      </w:r>
    </w:p>
    <w:p w14:paraId="49B2EB0D"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Mengistu</w:t>
      </w:r>
      <w:proofErr w:type="spellEnd"/>
      <w:r w:rsidRPr="00771436">
        <w:rPr>
          <w:rFonts w:ascii="Times New Roman" w:hAnsi="Times New Roman" w:cs="Times New Roman"/>
          <w:sz w:val="24"/>
          <w:szCs w:val="24"/>
        </w:rPr>
        <w:t xml:space="preserve"> T, </w:t>
      </w:r>
      <w:proofErr w:type="spellStart"/>
      <w:r w:rsidRPr="00771436">
        <w:rPr>
          <w:rFonts w:ascii="Times New Roman" w:hAnsi="Times New Roman" w:cs="Times New Roman"/>
          <w:sz w:val="24"/>
          <w:szCs w:val="24"/>
        </w:rPr>
        <w:t>Teketay</w:t>
      </w:r>
      <w:proofErr w:type="spellEnd"/>
      <w:r w:rsidRPr="00771436">
        <w:rPr>
          <w:rFonts w:ascii="Times New Roman" w:hAnsi="Times New Roman" w:cs="Times New Roman"/>
          <w:sz w:val="24"/>
          <w:szCs w:val="24"/>
        </w:rPr>
        <w:t xml:space="preserve"> D, </w:t>
      </w:r>
      <w:proofErr w:type="spellStart"/>
      <w:r w:rsidRPr="00771436">
        <w:rPr>
          <w:rFonts w:ascii="Times New Roman" w:hAnsi="Times New Roman" w:cs="Times New Roman"/>
          <w:sz w:val="24"/>
          <w:szCs w:val="24"/>
        </w:rPr>
        <w:t>Hulten</w:t>
      </w:r>
      <w:proofErr w:type="spellEnd"/>
      <w:r w:rsidRPr="00771436">
        <w:rPr>
          <w:rFonts w:ascii="Times New Roman" w:hAnsi="Times New Roman" w:cs="Times New Roman"/>
          <w:sz w:val="24"/>
          <w:szCs w:val="24"/>
        </w:rPr>
        <w:t xml:space="preserve"> H, </w:t>
      </w:r>
      <w:proofErr w:type="spellStart"/>
      <w:r w:rsidRPr="00771436">
        <w:rPr>
          <w:rFonts w:ascii="Times New Roman" w:hAnsi="Times New Roman" w:cs="Times New Roman"/>
          <w:sz w:val="24"/>
          <w:szCs w:val="24"/>
        </w:rPr>
        <w:t>Yemshaw</w:t>
      </w:r>
      <w:proofErr w:type="spellEnd"/>
      <w:r w:rsidRPr="00771436">
        <w:rPr>
          <w:rFonts w:ascii="Times New Roman" w:hAnsi="Times New Roman" w:cs="Times New Roman"/>
          <w:sz w:val="24"/>
          <w:szCs w:val="24"/>
        </w:rPr>
        <w:t xml:space="preserve"> Y. The role of enclosures in the recovery of woody vegetation in dry land hillsides of central and northern Ethiopia. </w:t>
      </w:r>
      <w:r w:rsidRPr="00771436">
        <w:rPr>
          <w:rFonts w:ascii="Times New Roman" w:hAnsi="Times New Roman" w:cs="Times New Roman"/>
          <w:i/>
          <w:sz w:val="24"/>
          <w:szCs w:val="24"/>
        </w:rPr>
        <w:t>Journal of Arid Environments</w:t>
      </w:r>
      <w:r w:rsidRPr="00771436">
        <w:rPr>
          <w:rFonts w:ascii="Times New Roman" w:hAnsi="Times New Roman" w:cs="Times New Roman"/>
          <w:sz w:val="24"/>
          <w:szCs w:val="24"/>
        </w:rPr>
        <w:t>. 2004;60: 259-281</w:t>
      </w:r>
    </w:p>
    <w:p w14:paraId="6FF03526" w14:textId="77777777" w:rsidR="00B6311D" w:rsidRPr="00771436" w:rsidRDefault="00B6311D" w:rsidP="00771436">
      <w:pPr>
        <w:pStyle w:val="ListParagraph"/>
        <w:numPr>
          <w:ilvl w:val="0"/>
          <w:numId w:val="35"/>
        </w:numPr>
        <w:spacing w:before="100" w:beforeAutospacing="1" w:after="100" w:afterAutospacing="1" w:line="360" w:lineRule="auto"/>
        <w:ind w:left="360"/>
        <w:jc w:val="both"/>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Peet R. K (1974). The Measurement of Species Diversity. Ann. Review. Ecology System 5: 285-307</w:t>
      </w:r>
    </w:p>
    <w:p w14:paraId="6D33F46E"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Gering JC, Crist TO, Veech JA. Additive partitioning of species diversity across multiple spatial scales: Implications for regional conservation of biodiversity. Biology. 2003;17(2):488-489.</w:t>
      </w:r>
    </w:p>
    <w:p w14:paraId="7D350316"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lastRenderedPageBreak/>
        <w:t>Pielou</w:t>
      </w:r>
      <w:proofErr w:type="spellEnd"/>
      <w:r w:rsidRPr="00771436">
        <w:rPr>
          <w:rFonts w:ascii="Times New Roman" w:eastAsia="Times New Roman" w:hAnsi="Times New Roman" w:cs="Times New Roman"/>
          <w:sz w:val="24"/>
          <w:szCs w:val="24"/>
        </w:rPr>
        <w:t xml:space="preserve">, E.C., 1966. Species-diversity and pattern-diversity in the study of ecological succession. </w:t>
      </w:r>
      <w:r w:rsidRPr="00771436">
        <w:rPr>
          <w:rFonts w:ascii="Times New Roman" w:eastAsia="Times New Roman" w:hAnsi="Times New Roman" w:cs="Times New Roman"/>
          <w:i/>
          <w:iCs/>
          <w:sz w:val="24"/>
          <w:szCs w:val="24"/>
        </w:rPr>
        <w:t>Journal of theoretical biology</w:t>
      </w:r>
      <w:r w:rsidRPr="00771436">
        <w:rPr>
          <w:rFonts w:ascii="Times New Roman" w:eastAsia="Times New Roman" w:hAnsi="Times New Roman" w:cs="Times New Roman"/>
          <w:sz w:val="24"/>
          <w:szCs w:val="24"/>
        </w:rPr>
        <w:t xml:space="preserve">, </w:t>
      </w:r>
      <w:r w:rsidRPr="00771436">
        <w:rPr>
          <w:rFonts w:ascii="Times New Roman" w:eastAsia="Times New Roman" w:hAnsi="Times New Roman" w:cs="Times New Roman"/>
          <w:i/>
          <w:iCs/>
          <w:sz w:val="24"/>
          <w:szCs w:val="24"/>
        </w:rPr>
        <w:t>10</w:t>
      </w:r>
      <w:r w:rsidRPr="00771436">
        <w:rPr>
          <w:rFonts w:ascii="Times New Roman" w:eastAsia="Times New Roman" w:hAnsi="Times New Roman" w:cs="Times New Roman"/>
          <w:sz w:val="24"/>
          <w:szCs w:val="24"/>
        </w:rPr>
        <w:t>(2), pp.370-383.</w:t>
      </w:r>
    </w:p>
    <w:p w14:paraId="75C46F2E" w14:textId="77777777" w:rsidR="00B806DC" w:rsidRPr="00771436" w:rsidRDefault="00B6311D" w:rsidP="00771436">
      <w:pPr>
        <w:pStyle w:val="ListParagraph"/>
        <w:numPr>
          <w:ilvl w:val="0"/>
          <w:numId w:val="35"/>
        </w:numPr>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771436">
        <w:rPr>
          <w:rStyle w:val="personname"/>
          <w:rFonts w:ascii="Times New Roman" w:hAnsi="Times New Roman" w:cs="Times New Roman"/>
          <w:sz w:val="24"/>
          <w:szCs w:val="24"/>
        </w:rPr>
        <w:t>Asfaw</w:t>
      </w:r>
      <w:proofErr w:type="spellEnd"/>
      <w:r w:rsidRPr="00771436">
        <w:rPr>
          <w:rStyle w:val="personname"/>
          <w:rFonts w:ascii="Times New Roman" w:hAnsi="Times New Roman" w:cs="Times New Roman"/>
          <w:sz w:val="24"/>
          <w:szCs w:val="24"/>
        </w:rPr>
        <w:t xml:space="preserve">, </w:t>
      </w:r>
      <w:proofErr w:type="spellStart"/>
      <w:r w:rsidRPr="00771436">
        <w:rPr>
          <w:rStyle w:val="personname"/>
          <w:rFonts w:ascii="Times New Roman" w:hAnsi="Times New Roman" w:cs="Times New Roman"/>
          <w:sz w:val="24"/>
          <w:szCs w:val="24"/>
        </w:rPr>
        <w:t>Ambachew</w:t>
      </w:r>
      <w:proofErr w:type="spellEnd"/>
      <w:r w:rsidRPr="00771436">
        <w:rPr>
          <w:rStyle w:val="personname"/>
          <w:rFonts w:ascii="Times New Roman" w:hAnsi="Times New Roman" w:cs="Times New Roman"/>
          <w:sz w:val="24"/>
          <w:szCs w:val="24"/>
        </w:rPr>
        <w:t xml:space="preserve"> </w:t>
      </w:r>
      <w:proofErr w:type="spellStart"/>
      <w:r w:rsidRPr="00771436">
        <w:rPr>
          <w:rStyle w:val="personname"/>
          <w:rFonts w:ascii="Times New Roman" w:hAnsi="Times New Roman" w:cs="Times New Roman"/>
          <w:sz w:val="24"/>
          <w:szCs w:val="24"/>
        </w:rPr>
        <w:t>Getnet</w:t>
      </w:r>
      <w:proofErr w:type="spellEnd"/>
      <w:r w:rsidRPr="00771436">
        <w:rPr>
          <w:rFonts w:ascii="Times New Roman" w:hAnsi="Times New Roman" w:cs="Times New Roman"/>
          <w:sz w:val="24"/>
          <w:szCs w:val="24"/>
        </w:rPr>
        <w:t xml:space="preserve"> (2018) </w:t>
      </w:r>
      <w:r w:rsidRPr="00771436">
        <w:rPr>
          <w:rStyle w:val="Emphasis"/>
          <w:rFonts w:ascii="Times New Roman" w:hAnsi="Times New Roman" w:cs="Times New Roman"/>
          <w:sz w:val="24"/>
          <w:szCs w:val="24"/>
        </w:rPr>
        <w:t>Woody Species Composition, Diversity and Vegetation Structure of Dry Afromontane Forest, Ethiopia.</w:t>
      </w:r>
      <w:r w:rsidRPr="00771436">
        <w:rPr>
          <w:rFonts w:ascii="Times New Roman" w:hAnsi="Times New Roman" w:cs="Times New Roman"/>
          <w:sz w:val="24"/>
          <w:szCs w:val="24"/>
        </w:rPr>
        <w:t xml:space="preserve"> Journal of Agriculture and Ecology Research International, 16 (3). pp. 1-20. ISSN 23941073 </w:t>
      </w:r>
    </w:p>
    <w:p w14:paraId="0BEA3239"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Zegeye</w:t>
      </w:r>
      <w:proofErr w:type="spellEnd"/>
      <w:r w:rsidRPr="00771436">
        <w:rPr>
          <w:rFonts w:ascii="Times New Roman" w:hAnsi="Times New Roman" w:cs="Times New Roman"/>
          <w:sz w:val="24"/>
          <w:szCs w:val="24"/>
        </w:rPr>
        <w:t xml:space="preserve"> H, </w:t>
      </w:r>
      <w:proofErr w:type="spellStart"/>
      <w:r w:rsidRPr="00771436">
        <w:rPr>
          <w:rFonts w:ascii="Times New Roman" w:hAnsi="Times New Roman" w:cs="Times New Roman"/>
          <w:sz w:val="24"/>
          <w:szCs w:val="24"/>
        </w:rPr>
        <w:t>Teketay</w:t>
      </w:r>
      <w:proofErr w:type="spellEnd"/>
      <w:r w:rsidRPr="00771436">
        <w:rPr>
          <w:rFonts w:ascii="Times New Roman" w:hAnsi="Times New Roman" w:cs="Times New Roman"/>
          <w:sz w:val="24"/>
          <w:szCs w:val="24"/>
        </w:rPr>
        <w:t xml:space="preserve"> D, </w:t>
      </w:r>
      <w:proofErr w:type="spellStart"/>
      <w:r w:rsidRPr="00771436">
        <w:rPr>
          <w:rFonts w:ascii="Times New Roman" w:hAnsi="Times New Roman" w:cs="Times New Roman"/>
          <w:sz w:val="24"/>
          <w:szCs w:val="24"/>
        </w:rPr>
        <w:t>Kelbessa</w:t>
      </w:r>
      <w:proofErr w:type="spellEnd"/>
      <w:r w:rsidRPr="00771436">
        <w:rPr>
          <w:rFonts w:ascii="Times New Roman" w:hAnsi="Times New Roman" w:cs="Times New Roman"/>
          <w:sz w:val="24"/>
          <w:szCs w:val="24"/>
        </w:rPr>
        <w:t xml:space="preserve"> Diversity and regeneration status of woody species in Tara Gedam and Abebaye forests, northern Ethiopia. </w:t>
      </w:r>
      <w:r w:rsidRPr="00771436">
        <w:rPr>
          <w:rFonts w:ascii="Times New Roman" w:hAnsi="Times New Roman" w:cs="Times New Roman"/>
          <w:i/>
          <w:sz w:val="24"/>
          <w:szCs w:val="24"/>
        </w:rPr>
        <w:t>Journal of Forestry Research</w:t>
      </w:r>
      <w:r w:rsidRPr="00771436">
        <w:rPr>
          <w:rFonts w:ascii="Times New Roman" w:hAnsi="Times New Roman" w:cs="Times New Roman"/>
          <w:sz w:val="24"/>
          <w:szCs w:val="24"/>
        </w:rPr>
        <w:t>. 2011;22 (3):315-328.</w:t>
      </w:r>
    </w:p>
    <w:p w14:paraId="32956796"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Sokpon</w:t>
      </w:r>
      <w:proofErr w:type="spellEnd"/>
      <w:r w:rsidRPr="00771436">
        <w:rPr>
          <w:rFonts w:ascii="Times New Roman" w:hAnsi="Times New Roman" w:cs="Times New Roman"/>
          <w:sz w:val="24"/>
          <w:szCs w:val="24"/>
        </w:rPr>
        <w:t xml:space="preserve"> N, </w:t>
      </w:r>
      <w:proofErr w:type="spellStart"/>
      <w:r w:rsidRPr="00771436">
        <w:rPr>
          <w:rFonts w:ascii="Times New Roman" w:hAnsi="Times New Roman" w:cs="Times New Roman"/>
          <w:sz w:val="24"/>
          <w:szCs w:val="24"/>
        </w:rPr>
        <w:t>Biaou</w:t>
      </w:r>
      <w:proofErr w:type="spellEnd"/>
      <w:r w:rsidRPr="00771436">
        <w:rPr>
          <w:rFonts w:ascii="Times New Roman" w:hAnsi="Times New Roman" w:cs="Times New Roman"/>
          <w:sz w:val="24"/>
          <w:szCs w:val="24"/>
        </w:rPr>
        <w:t xml:space="preserve"> SH. The use of diameter distributions in sustained -use management of remnant forests in Benin: Case of </w:t>
      </w:r>
      <w:proofErr w:type="spellStart"/>
      <w:r w:rsidRPr="00771436">
        <w:rPr>
          <w:rFonts w:ascii="Times New Roman" w:hAnsi="Times New Roman" w:cs="Times New Roman"/>
          <w:sz w:val="24"/>
          <w:szCs w:val="24"/>
        </w:rPr>
        <w:t>Bassila</w:t>
      </w:r>
      <w:proofErr w:type="spellEnd"/>
      <w:r w:rsidRPr="00771436">
        <w:rPr>
          <w:rFonts w:ascii="Times New Roman" w:hAnsi="Times New Roman" w:cs="Times New Roman"/>
          <w:sz w:val="24"/>
          <w:szCs w:val="24"/>
        </w:rPr>
        <w:t xml:space="preserve"> forest reserve in North Benin. </w:t>
      </w:r>
      <w:r w:rsidRPr="00771436">
        <w:rPr>
          <w:rFonts w:ascii="Times New Roman" w:hAnsi="Times New Roman" w:cs="Times New Roman"/>
          <w:i/>
          <w:sz w:val="24"/>
          <w:szCs w:val="24"/>
        </w:rPr>
        <w:t>Forest Ecology and Management</w:t>
      </w:r>
      <w:r w:rsidRPr="00771436">
        <w:rPr>
          <w:rFonts w:ascii="Times New Roman" w:hAnsi="Times New Roman" w:cs="Times New Roman"/>
          <w:sz w:val="24"/>
          <w:szCs w:val="24"/>
        </w:rPr>
        <w:t>. 2001</w:t>
      </w:r>
      <w:proofErr w:type="gramStart"/>
      <w:r w:rsidRPr="00771436">
        <w:rPr>
          <w:rFonts w:ascii="Times New Roman" w:hAnsi="Times New Roman" w:cs="Times New Roman"/>
          <w:sz w:val="24"/>
          <w:szCs w:val="24"/>
        </w:rPr>
        <w:t>;161:13</w:t>
      </w:r>
      <w:proofErr w:type="gramEnd"/>
      <w:r w:rsidRPr="00771436">
        <w:rPr>
          <w:rFonts w:ascii="Times New Roman" w:hAnsi="Times New Roman" w:cs="Times New Roman"/>
          <w:sz w:val="24"/>
          <w:szCs w:val="24"/>
        </w:rPr>
        <w:t xml:space="preserve">-25. </w:t>
      </w:r>
    </w:p>
    <w:p w14:paraId="28B3A5C8" w14:textId="77777777" w:rsidR="00B806DC" w:rsidRPr="00771436" w:rsidRDefault="00B806DC" w:rsidP="00771436">
      <w:pPr>
        <w:pStyle w:val="ListParagraph"/>
        <w:numPr>
          <w:ilvl w:val="0"/>
          <w:numId w:val="35"/>
        </w:numPr>
        <w:tabs>
          <w:tab w:val="left" w:pos="720"/>
        </w:tabs>
        <w:spacing w:before="100" w:beforeAutospacing="1" w:after="100" w:afterAutospacing="1" w:line="360" w:lineRule="auto"/>
        <w:ind w:left="360"/>
        <w:jc w:val="both"/>
        <w:rPr>
          <w:rFonts w:ascii="Times New Roman" w:hAnsi="Times New Roman" w:cs="Times New Roman"/>
          <w:b/>
          <w:sz w:val="24"/>
          <w:szCs w:val="24"/>
          <w:shd w:val="clear" w:color="auto" w:fill="FFFFFF"/>
        </w:rPr>
      </w:pPr>
      <w:proofErr w:type="spellStart"/>
      <w:r w:rsidRPr="00771436">
        <w:rPr>
          <w:rFonts w:ascii="Times New Roman" w:hAnsi="Times New Roman" w:cs="Times New Roman"/>
          <w:sz w:val="24"/>
          <w:szCs w:val="24"/>
        </w:rPr>
        <w:t>Yineger</w:t>
      </w:r>
      <w:proofErr w:type="spellEnd"/>
      <w:r w:rsidRPr="00771436">
        <w:rPr>
          <w:rFonts w:ascii="Times New Roman" w:hAnsi="Times New Roman" w:cs="Times New Roman"/>
          <w:sz w:val="24"/>
          <w:szCs w:val="24"/>
        </w:rPr>
        <w:t xml:space="preserve"> H, </w:t>
      </w:r>
      <w:proofErr w:type="spellStart"/>
      <w:r w:rsidRPr="00771436">
        <w:rPr>
          <w:rFonts w:ascii="Times New Roman" w:hAnsi="Times New Roman" w:cs="Times New Roman"/>
          <w:sz w:val="24"/>
          <w:szCs w:val="24"/>
        </w:rPr>
        <w:t>Kelbessa</w:t>
      </w:r>
      <w:proofErr w:type="spellEnd"/>
      <w:r w:rsidRPr="00771436">
        <w:rPr>
          <w:rFonts w:ascii="Times New Roman" w:hAnsi="Times New Roman" w:cs="Times New Roman"/>
          <w:sz w:val="24"/>
          <w:szCs w:val="24"/>
        </w:rPr>
        <w:t xml:space="preserve"> E, </w:t>
      </w:r>
      <w:proofErr w:type="spellStart"/>
      <w:r w:rsidRPr="00771436">
        <w:rPr>
          <w:rFonts w:ascii="Times New Roman" w:hAnsi="Times New Roman" w:cs="Times New Roman"/>
          <w:sz w:val="24"/>
          <w:szCs w:val="24"/>
        </w:rPr>
        <w:t>Bekele</w:t>
      </w:r>
      <w:proofErr w:type="spellEnd"/>
      <w:r w:rsidRPr="00771436">
        <w:rPr>
          <w:rFonts w:ascii="Times New Roman" w:hAnsi="Times New Roman" w:cs="Times New Roman"/>
          <w:sz w:val="24"/>
          <w:szCs w:val="24"/>
        </w:rPr>
        <w:t xml:space="preserve"> T, </w:t>
      </w:r>
      <w:proofErr w:type="spellStart"/>
      <w:r w:rsidRPr="00771436">
        <w:rPr>
          <w:rFonts w:ascii="Times New Roman" w:hAnsi="Times New Roman" w:cs="Times New Roman"/>
          <w:sz w:val="24"/>
          <w:szCs w:val="24"/>
        </w:rPr>
        <w:t>Lulekal</w:t>
      </w:r>
      <w:proofErr w:type="spellEnd"/>
      <w:r w:rsidRPr="00771436">
        <w:rPr>
          <w:rFonts w:ascii="Times New Roman" w:hAnsi="Times New Roman" w:cs="Times New Roman"/>
          <w:sz w:val="24"/>
          <w:szCs w:val="24"/>
        </w:rPr>
        <w:t xml:space="preserve"> E. Floristic Composition and Structure of the Dry Afromontane Forest at Bale Mountain National Park, Ethiopia. SINET: </w:t>
      </w:r>
      <w:r w:rsidRPr="00771436">
        <w:rPr>
          <w:rFonts w:ascii="Times New Roman" w:hAnsi="Times New Roman" w:cs="Times New Roman"/>
          <w:i/>
          <w:sz w:val="24"/>
          <w:szCs w:val="24"/>
        </w:rPr>
        <w:t>Ethiopia Journal of Science</w:t>
      </w:r>
      <w:r w:rsidRPr="00771436">
        <w:rPr>
          <w:rFonts w:ascii="Times New Roman" w:hAnsi="Times New Roman" w:cs="Times New Roman"/>
          <w:sz w:val="24"/>
          <w:szCs w:val="24"/>
        </w:rPr>
        <w:t>. 2008;31 (2): 103-120.</w:t>
      </w:r>
    </w:p>
    <w:p w14:paraId="0EEBBDA7"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Dibaba</w:t>
      </w:r>
      <w:proofErr w:type="spellEnd"/>
      <w:r w:rsidRPr="00771436">
        <w:rPr>
          <w:rFonts w:ascii="Times New Roman" w:hAnsi="Times New Roman" w:cs="Times New Roman"/>
          <w:sz w:val="24"/>
          <w:szCs w:val="24"/>
        </w:rPr>
        <w:t xml:space="preserve"> A, </w:t>
      </w:r>
      <w:proofErr w:type="spellStart"/>
      <w:r w:rsidRPr="00771436">
        <w:rPr>
          <w:rFonts w:ascii="Times New Roman" w:hAnsi="Times New Roman" w:cs="Times New Roman"/>
          <w:sz w:val="24"/>
          <w:szCs w:val="24"/>
        </w:rPr>
        <w:t>Soromessa</w:t>
      </w:r>
      <w:proofErr w:type="spellEnd"/>
      <w:r w:rsidRPr="00771436">
        <w:rPr>
          <w:rFonts w:ascii="Times New Roman" w:hAnsi="Times New Roman" w:cs="Times New Roman"/>
          <w:sz w:val="24"/>
          <w:szCs w:val="24"/>
        </w:rPr>
        <w:t xml:space="preserve">, T, </w:t>
      </w:r>
      <w:proofErr w:type="spellStart"/>
      <w:r w:rsidRPr="00771436">
        <w:rPr>
          <w:rFonts w:ascii="Times New Roman" w:hAnsi="Times New Roman" w:cs="Times New Roman"/>
          <w:sz w:val="24"/>
          <w:szCs w:val="24"/>
        </w:rPr>
        <w:t>Kelbessa</w:t>
      </w:r>
      <w:proofErr w:type="spellEnd"/>
      <w:r w:rsidRPr="00771436">
        <w:rPr>
          <w:rFonts w:ascii="Times New Roman" w:hAnsi="Times New Roman" w:cs="Times New Roman"/>
          <w:sz w:val="24"/>
          <w:szCs w:val="24"/>
        </w:rPr>
        <w:t xml:space="preserve"> E, Tilahun A. Diversity, Structure and Regeneration Status of the Woodland and Riverine Vegetation of Sire </w:t>
      </w:r>
      <w:proofErr w:type="spellStart"/>
      <w:r w:rsidRPr="00771436">
        <w:rPr>
          <w:rFonts w:ascii="Times New Roman" w:hAnsi="Times New Roman" w:cs="Times New Roman"/>
          <w:sz w:val="24"/>
          <w:szCs w:val="24"/>
        </w:rPr>
        <w:t>Beggo</w:t>
      </w:r>
      <w:proofErr w:type="spellEnd"/>
      <w:r w:rsidRPr="00771436">
        <w:rPr>
          <w:rFonts w:ascii="Times New Roman" w:hAnsi="Times New Roman" w:cs="Times New Roman"/>
          <w:sz w:val="24"/>
          <w:szCs w:val="24"/>
        </w:rPr>
        <w:t xml:space="preserve"> in </w:t>
      </w:r>
      <w:proofErr w:type="spellStart"/>
      <w:r w:rsidRPr="00771436">
        <w:rPr>
          <w:rFonts w:ascii="Times New Roman" w:hAnsi="Times New Roman" w:cs="Times New Roman"/>
          <w:sz w:val="24"/>
          <w:szCs w:val="24"/>
        </w:rPr>
        <w:t>Gololcha</w:t>
      </w:r>
      <w:proofErr w:type="spellEnd"/>
      <w:r w:rsidRPr="00771436">
        <w:rPr>
          <w:rFonts w:ascii="Times New Roman" w:hAnsi="Times New Roman" w:cs="Times New Roman"/>
          <w:sz w:val="24"/>
          <w:szCs w:val="24"/>
        </w:rPr>
        <w:t xml:space="preserve"> District. Eastern Ethiopia. </w:t>
      </w:r>
      <w:proofErr w:type="spellStart"/>
      <w:r w:rsidRPr="00771436">
        <w:rPr>
          <w:rFonts w:ascii="Times New Roman" w:hAnsi="Times New Roman" w:cs="Times New Roman"/>
          <w:sz w:val="24"/>
          <w:szCs w:val="24"/>
        </w:rPr>
        <w:t>Momona</w:t>
      </w:r>
      <w:proofErr w:type="spellEnd"/>
      <w:r w:rsidRPr="00771436">
        <w:rPr>
          <w:rFonts w:ascii="Times New Roman" w:hAnsi="Times New Roman" w:cs="Times New Roman"/>
          <w:sz w:val="24"/>
          <w:szCs w:val="24"/>
        </w:rPr>
        <w:t xml:space="preserve"> Ethiopian </w:t>
      </w:r>
      <w:r w:rsidRPr="00771436">
        <w:rPr>
          <w:rFonts w:ascii="Times New Roman" w:hAnsi="Times New Roman" w:cs="Times New Roman"/>
          <w:i/>
          <w:sz w:val="24"/>
          <w:szCs w:val="24"/>
        </w:rPr>
        <w:t>Journal of Science</w:t>
      </w:r>
      <w:r w:rsidRPr="00771436">
        <w:rPr>
          <w:rFonts w:ascii="Times New Roman" w:hAnsi="Times New Roman" w:cs="Times New Roman"/>
          <w:sz w:val="24"/>
          <w:szCs w:val="24"/>
        </w:rPr>
        <w:t xml:space="preserve"> (MEJS), 2014;6:70-96.</w:t>
      </w:r>
    </w:p>
    <w:p w14:paraId="04D77AE6"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Tadele</w:t>
      </w:r>
      <w:proofErr w:type="spellEnd"/>
      <w:r w:rsidRPr="00771436">
        <w:rPr>
          <w:rFonts w:ascii="Times New Roman" w:hAnsi="Times New Roman" w:cs="Times New Roman"/>
          <w:sz w:val="24"/>
          <w:szCs w:val="24"/>
        </w:rPr>
        <w:t xml:space="preserve"> D, </w:t>
      </w:r>
      <w:proofErr w:type="spellStart"/>
      <w:r w:rsidRPr="00771436">
        <w:rPr>
          <w:rFonts w:ascii="Times New Roman" w:hAnsi="Times New Roman" w:cs="Times New Roman"/>
          <w:sz w:val="24"/>
          <w:szCs w:val="24"/>
        </w:rPr>
        <w:t>Lulekal</w:t>
      </w:r>
      <w:proofErr w:type="spellEnd"/>
      <w:r w:rsidRPr="00771436">
        <w:rPr>
          <w:rFonts w:ascii="Times New Roman" w:hAnsi="Times New Roman" w:cs="Times New Roman"/>
          <w:sz w:val="24"/>
          <w:szCs w:val="24"/>
        </w:rPr>
        <w:t xml:space="preserve"> E, </w:t>
      </w:r>
      <w:proofErr w:type="spellStart"/>
      <w:r w:rsidRPr="00771436">
        <w:rPr>
          <w:rFonts w:ascii="Times New Roman" w:hAnsi="Times New Roman" w:cs="Times New Roman"/>
          <w:sz w:val="24"/>
          <w:szCs w:val="24"/>
        </w:rPr>
        <w:t>Damtie</w:t>
      </w:r>
      <w:proofErr w:type="spellEnd"/>
      <w:r w:rsidRPr="00771436">
        <w:rPr>
          <w:rFonts w:ascii="Times New Roman" w:hAnsi="Times New Roman" w:cs="Times New Roman"/>
          <w:sz w:val="24"/>
          <w:szCs w:val="24"/>
        </w:rPr>
        <w:t xml:space="preserve"> D, Assefa A. Floristic Diversity and regeneration status of woody plants in </w:t>
      </w:r>
      <w:proofErr w:type="spellStart"/>
      <w:r w:rsidRPr="00771436">
        <w:rPr>
          <w:rFonts w:ascii="Times New Roman" w:hAnsi="Times New Roman" w:cs="Times New Roman"/>
          <w:sz w:val="24"/>
          <w:szCs w:val="24"/>
        </w:rPr>
        <w:t>Zengena</w:t>
      </w:r>
      <w:proofErr w:type="spellEnd"/>
      <w:r w:rsidRPr="00771436">
        <w:rPr>
          <w:rFonts w:ascii="Times New Roman" w:hAnsi="Times New Roman" w:cs="Times New Roman"/>
          <w:sz w:val="24"/>
          <w:szCs w:val="24"/>
        </w:rPr>
        <w:t xml:space="preserve"> Forest, a remnant montane forest patch in northwestern Ethiopia. </w:t>
      </w:r>
      <w:r w:rsidRPr="00771436">
        <w:rPr>
          <w:rFonts w:ascii="Times New Roman" w:hAnsi="Times New Roman" w:cs="Times New Roman"/>
          <w:i/>
          <w:sz w:val="24"/>
          <w:szCs w:val="24"/>
        </w:rPr>
        <w:t>Journal of Forestry Research</w:t>
      </w:r>
      <w:r w:rsidRPr="00771436">
        <w:rPr>
          <w:rFonts w:ascii="Times New Roman" w:hAnsi="Times New Roman" w:cs="Times New Roman"/>
          <w:sz w:val="24"/>
          <w:szCs w:val="24"/>
        </w:rPr>
        <w:t xml:space="preserve">. 2013;25(2):329-336. </w:t>
      </w:r>
    </w:p>
    <w:p w14:paraId="59928B1E" w14:textId="77777777" w:rsidR="00B806DC" w:rsidRPr="0035255A" w:rsidRDefault="00541C81" w:rsidP="00771436">
      <w:pPr>
        <w:pStyle w:val="ListParagraph"/>
        <w:numPr>
          <w:ilvl w:val="0"/>
          <w:numId w:val="35"/>
        </w:numPr>
        <w:spacing w:before="100" w:beforeAutospacing="1" w:after="100" w:afterAutospacing="1" w:line="360" w:lineRule="auto"/>
        <w:ind w:left="360"/>
        <w:jc w:val="both"/>
        <w:rPr>
          <w:rFonts w:ascii="Times New Roman" w:eastAsia="Times New Roman" w:hAnsi="Times New Roman" w:cs="Times New Roman"/>
          <w:sz w:val="24"/>
          <w:szCs w:val="24"/>
          <w:lang w:val="de-DE"/>
        </w:rPr>
      </w:pPr>
      <w:proofErr w:type="spellStart"/>
      <w:r w:rsidRPr="00771436">
        <w:rPr>
          <w:rFonts w:ascii="Times New Roman" w:eastAsia="Times New Roman" w:hAnsi="Times New Roman" w:cs="Times New Roman"/>
          <w:sz w:val="24"/>
          <w:szCs w:val="24"/>
        </w:rPr>
        <w:t>Aynekulu</w:t>
      </w:r>
      <w:proofErr w:type="spellEnd"/>
      <w:r w:rsidRPr="00771436">
        <w:rPr>
          <w:rFonts w:ascii="Times New Roman" w:eastAsia="Times New Roman" w:hAnsi="Times New Roman" w:cs="Times New Roman"/>
          <w:sz w:val="24"/>
          <w:szCs w:val="24"/>
        </w:rPr>
        <w:t xml:space="preserve">, E. (2011). Forest diversity in fragmented landscapes of northern Ethiopia and Implications for conservation. </w:t>
      </w:r>
      <w:r w:rsidRPr="0035255A">
        <w:rPr>
          <w:rFonts w:ascii="Times New Roman" w:eastAsia="Times New Roman" w:hAnsi="Times New Roman" w:cs="Times New Roman"/>
          <w:sz w:val="24"/>
          <w:szCs w:val="24"/>
          <w:lang w:val="de-DE"/>
        </w:rPr>
        <w:t>Dissertation Zur Erlangung des Doktorgrades, Rheinischen Friedrich-Wilhelms-Universität Bonn.</w:t>
      </w:r>
    </w:p>
    <w:p w14:paraId="65EFD543" w14:textId="77777777" w:rsidR="00B806DC" w:rsidRPr="00771436" w:rsidRDefault="00A12A9C" w:rsidP="00771436">
      <w:pPr>
        <w:pStyle w:val="NormalWeb"/>
        <w:numPr>
          <w:ilvl w:val="0"/>
          <w:numId w:val="35"/>
        </w:numPr>
        <w:spacing w:line="360" w:lineRule="auto"/>
        <w:ind w:left="360"/>
        <w:jc w:val="both"/>
      </w:pPr>
      <w:r w:rsidRPr="00771436">
        <w:t xml:space="preserve">Bhadra, A.K. and </w:t>
      </w:r>
      <w:proofErr w:type="spellStart"/>
      <w:r w:rsidRPr="00771436">
        <w:t>Pattanayak</w:t>
      </w:r>
      <w:proofErr w:type="spellEnd"/>
      <w:r w:rsidRPr="00771436">
        <w:t xml:space="preserve">, S.K., 2017. Dominance is more justified than abundance to calculate Importance Value Index (IVI) of plant species. </w:t>
      </w:r>
      <w:r w:rsidRPr="00771436">
        <w:rPr>
          <w:i/>
          <w:iCs/>
        </w:rPr>
        <w:t>Asian Journal of Science and Technology</w:t>
      </w:r>
      <w:r w:rsidRPr="00771436">
        <w:t xml:space="preserve">, </w:t>
      </w:r>
      <w:r w:rsidRPr="00771436">
        <w:rPr>
          <w:i/>
          <w:iCs/>
        </w:rPr>
        <w:t>8</w:t>
      </w:r>
      <w:r w:rsidRPr="00771436">
        <w:t>(2), pp.4304-4326.</w:t>
      </w:r>
      <w:r w:rsidR="00B806DC" w:rsidRPr="00771436">
        <w:t xml:space="preserve"> </w:t>
      </w:r>
    </w:p>
    <w:p w14:paraId="3CD5639A" w14:textId="77777777" w:rsidR="00A12A9C" w:rsidRPr="00771436" w:rsidRDefault="00A12A9C" w:rsidP="00771436">
      <w:pPr>
        <w:pStyle w:val="NormalWeb"/>
        <w:numPr>
          <w:ilvl w:val="0"/>
          <w:numId w:val="35"/>
        </w:numPr>
        <w:spacing w:line="360" w:lineRule="auto"/>
        <w:ind w:left="360"/>
        <w:jc w:val="both"/>
      </w:pPr>
      <w:r w:rsidRPr="00771436">
        <w:t xml:space="preserve">Zhu, J., Zhu, C., Lu, D., Wang, G.G., Zheng, X., Cao, J. and Zhang, J., 2021. Regeneration and succession: A 50-year gap dynamic in temperate secondary forests, Northeast China. </w:t>
      </w:r>
      <w:r w:rsidRPr="00771436">
        <w:rPr>
          <w:i/>
          <w:iCs/>
        </w:rPr>
        <w:t>Forest Ecology and Management</w:t>
      </w:r>
      <w:r w:rsidRPr="00771436">
        <w:t xml:space="preserve">, </w:t>
      </w:r>
      <w:r w:rsidRPr="00771436">
        <w:rPr>
          <w:i/>
          <w:iCs/>
        </w:rPr>
        <w:t>484</w:t>
      </w:r>
      <w:r w:rsidRPr="00771436">
        <w:t>, p.118943.</w:t>
      </w:r>
    </w:p>
    <w:p w14:paraId="615AD2E0" w14:textId="77777777" w:rsidR="00A12A9C" w:rsidRPr="00771436" w:rsidRDefault="00A12A9C" w:rsidP="00771436">
      <w:pPr>
        <w:pStyle w:val="NormalWeb"/>
        <w:numPr>
          <w:ilvl w:val="0"/>
          <w:numId w:val="35"/>
        </w:numPr>
        <w:spacing w:line="360" w:lineRule="auto"/>
        <w:ind w:left="360"/>
        <w:jc w:val="both"/>
      </w:pPr>
      <w:r w:rsidRPr="00771436">
        <w:lastRenderedPageBreak/>
        <w:t xml:space="preserve">Li, Y., Ye, S., Luo, Y., Yu, S. and Zhang, G., 2023. Relationship between species diversity and tree size in natural forests around the Tropic of Cancer. </w:t>
      </w:r>
      <w:r w:rsidRPr="00771436">
        <w:rPr>
          <w:i/>
          <w:iCs/>
        </w:rPr>
        <w:t>Journal of Forestry Research</w:t>
      </w:r>
      <w:r w:rsidRPr="00771436">
        <w:t xml:space="preserve">, </w:t>
      </w:r>
      <w:r w:rsidRPr="00771436">
        <w:rPr>
          <w:i/>
          <w:iCs/>
        </w:rPr>
        <w:t>34</w:t>
      </w:r>
      <w:r w:rsidRPr="00771436">
        <w:t>(6), pp.1735-1745.</w:t>
      </w:r>
    </w:p>
    <w:p w14:paraId="7458C399" w14:textId="77777777" w:rsidR="00A12A9C" w:rsidRPr="00771436" w:rsidRDefault="00A12A9C" w:rsidP="00771436">
      <w:pPr>
        <w:pStyle w:val="NormalWeb"/>
        <w:numPr>
          <w:ilvl w:val="0"/>
          <w:numId w:val="35"/>
        </w:numPr>
        <w:spacing w:line="360" w:lineRule="auto"/>
        <w:ind w:left="360"/>
        <w:jc w:val="both"/>
      </w:pPr>
      <w:r w:rsidRPr="00771436">
        <w:t xml:space="preserve">Li, Y., Li, J. and Wei, L., 2024. Stable reverse J-shaped diameter distribution occurs in an old-growth karst forest. </w:t>
      </w:r>
      <w:r w:rsidRPr="00771436">
        <w:rPr>
          <w:i/>
          <w:iCs/>
        </w:rPr>
        <w:t>Journal of Forestry Research</w:t>
      </w:r>
      <w:r w:rsidRPr="00771436">
        <w:t xml:space="preserve">, </w:t>
      </w:r>
      <w:r w:rsidRPr="00771436">
        <w:rPr>
          <w:i/>
          <w:iCs/>
        </w:rPr>
        <w:t>35</w:t>
      </w:r>
      <w:r w:rsidRPr="00771436">
        <w:t>(1), p.107.</w:t>
      </w:r>
    </w:p>
    <w:p w14:paraId="0C54B7D3" w14:textId="77777777" w:rsidR="00B806DC" w:rsidRPr="00771436" w:rsidRDefault="00B806DC" w:rsidP="00771436">
      <w:pPr>
        <w:pStyle w:val="NormalWeb"/>
        <w:numPr>
          <w:ilvl w:val="0"/>
          <w:numId w:val="35"/>
        </w:numPr>
        <w:spacing w:line="360" w:lineRule="auto"/>
        <w:ind w:left="360"/>
        <w:jc w:val="both"/>
      </w:pPr>
      <w:r w:rsidRPr="00771436">
        <w:t xml:space="preserve">Friis, I., Møller, J. &amp; A. H. (2010). </w:t>
      </w:r>
      <w:r w:rsidRPr="00771436">
        <w:rPr>
          <w:rStyle w:val="Emphasis"/>
        </w:rPr>
        <w:t>Atlas of the Vegetation of Ethiopia</w:t>
      </w:r>
      <w:r w:rsidRPr="00771436">
        <w:t>. Addis Ababa University Press.</w:t>
      </w:r>
    </w:p>
    <w:p w14:paraId="291CDB37" w14:textId="77777777" w:rsidR="00A12A9C" w:rsidRPr="00771436" w:rsidRDefault="00A12A9C" w:rsidP="00771436">
      <w:pPr>
        <w:pStyle w:val="ListParagraph"/>
        <w:numPr>
          <w:ilvl w:val="0"/>
          <w:numId w:val="35"/>
        </w:numPr>
        <w:spacing w:after="0" w:line="360" w:lineRule="auto"/>
        <w:ind w:left="360"/>
        <w:jc w:val="both"/>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 xml:space="preserve">Dereje, O.A. and </w:t>
      </w:r>
      <w:proofErr w:type="spellStart"/>
      <w:r w:rsidRPr="00771436">
        <w:rPr>
          <w:rFonts w:ascii="Times New Roman" w:eastAsia="Times New Roman" w:hAnsi="Times New Roman" w:cs="Times New Roman"/>
          <w:sz w:val="24"/>
          <w:szCs w:val="24"/>
        </w:rPr>
        <w:t>Duguma</w:t>
      </w:r>
      <w:proofErr w:type="spellEnd"/>
      <w:r w:rsidRPr="00771436">
        <w:rPr>
          <w:rFonts w:ascii="Times New Roman" w:eastAsia="Times New Roman" w:hAnsi="Times New Roman" w:cs="Times New Roman"/>
          <w:sz w:val="24"/>
          <w:szCs w:val="24"/>
        </w:rPr>
        <w:t xml:space="preserve">, I.D., 2019. Woody Species Composition and Natural Regeneration Status of Ades Forest, Oromia Regional State, West </w:t>
      </w:r>
      <w:proofErr w:type="spellStart"/>
      <w:r w:rsidRPr="00771436">
        <w:rPr>
          <w:rFonts w:ascii="Times New Roman" w:eastAsia="Times New Roman" w:hAnsi="Times New Roman" w:cs="Times New Roman"/>
          <w:sz w:val="24"/>
          <w:szCs w:val="24"/>
        </w:rPr>
        <w:t>Hararghe</w:t>
      </w:r>
      <w:proofErr w:type="spellEnd"/>
      <w:r w:rsidRPr="00771436">
        <w:rPr>
          <w:rFonts w:ascii="Times New Roman" w:eastAsia="Times New Roman" w:hAnsi="Times New Roman" w:cs="Times New Roman"/>
          <w:sz w:val="24"/>
          <w:szCs w:val="24"/>
        </w:rPr>
        <w:t xml:space="preserve"> Zone, Ethiopia.</w:t>
      </w:r>
    </w:p>
    <w:p w14:paraId="5312A459" w14:textId="77777777" w:rsidR="00B806DC" w:rsidRPr="00771436" w:rsidRDefault="00B806DC" w:rsidP="00771436">
      <w:pPr>
        <w:pStyle w:val="NormalWeb"/>
        <w:numPr>
          <w:ilvl w:val="0"/>
          <w:numId w:val="35"/>
        </w:numPr>
        <w:spacing w:line="360" w:lineRule="auto"/>
        <w:ind w:left="360"/>
        <w:jc w:val="both"/>
      </w:pPr>
      <w:r w:rsidRPr="00771436">
        <w:t xml:space="preserve">Biruk, B. (2019). Assessment of tree species diversity in </w:t>
      </w:r>
      <w:proofErr w:type="spellStart"/>
      <w:r w:rsidRPr="00771436">
        <w:t>Gezha</w:t>
      </w:r>
      <w:proofErr w:type="spellEnd"/>
      <w:r w:rsidRPr="00771436">
        <w:t xml:space="preserve"> Forest, Ethiopia. </w:t>
      </w:r>
      <w:r w:rsidRPr="00771436">
        <w:rPr>
          <w:rStyle w:val="Emphasis"/>
        </w:rPr>
        <w:t>International Journal of Forestry Research</w:t>
      </w:r>
      <w:r w:rsidRPr="00771436">
        <w:t xml:space="preserve">, 2019, Article ID 6190241. </w:t>
      </w:r>
      <w:hyperlink r:id="rId16" w:history="1">
        <w:r w:rsidRPr="00771436">
          <w:rPr>
            <w:rStyle w:val="Hyperlink"/>
            <w:rFonts w:eastAsiaTheme="majorEastAsia"/>
          </w:rPr>
          <w:t>https://doi.org/10.1155/2019/6190241</w:t>
        </w:r>
      </w:hyperlink>
      <w:r w:rsidRPr="00771436">
        <w:t xml:space="preserve">. </w:t>
      </w:r>
    </w:p>
    <w:p w14:paraId="0D37BC3B" w14:textId="77777777" w:rsidR="00B806DC" w:rsidRPr="00771436" w:rsidRDefault="00B806DC" w:rsidP="00771436">
      <w:pPr>
        <w:pStyle w:val="NormalWeb"/>
        <w:numPr>
          <w:ilvl w:val="0"/>
          <w:numId w:val="35"/>
        </w:numPr>
        <w:spacing w:line="360" w:lineRule="auto"/>
        <w:ind w:left="360"/>
        <w:jc w:val="both"/>
      </w:pPr>
      <w:proofErr w:type="spellStart"/>
      <w:r w:rsidRPr="00771436">
        <w:t>Wondrade</w:t>
      </w:r>
      <w:proofErr w:type="spellEnd"/>
      <w:r w:rsidRPr="00771436">
        <w:t xml:space="preserve">, M., Ayele, T., &amp; Dey, T. (2019). Species diversity and density in Lake Hawassa Watershed, Ethiopia. </w:t>
      </w:r>
      <w:r w:rsidRPr="00771436">
        <w:rPr>
          <w:rStyle w:val="Emphasis"/>
        </w:rPr>
        <w:t>Ethiopian Journal of Ecology and Environmental Sciences</w:t>
      </w:r>
      <w:r w:rsidRPr="00771436">
        <w:t xml:space="preserve">, 7(1), 45-56. </w:t>
      </w:r>
      <w:hyperlink r:id="rId17" w:history="1">
        <w:r w:rsidRPr="00771436">
          <w:rPr>
            <w:rStyle w:val="Hyperlink"/>
            <w:rFonts w:eastAsiaTheme="majorEastAsia"/>
          </w:rPr>
          <w:t>https://doi.org/10.1016/j.mbs.2019.01.001</w:t>
        </w:r>
      </w:hyperlink>
      <w:r w:rsidRPr="00771436">
        <w:t xml:space="preserve"> </w:t>
      </w:r>
    </w:p>
    <w:p w14:paraId="2E3CEB5E" w14:textId="77777777" w:rsidR="00D06B83" w:rsidRPr="00771436" w:rsidRDefault="00B806DC" w:rsidP="00771436">
      <w:pPr>
        <w:pStyle w:val="NormalWeb"/>
        <w:numPr>
          <w:ilvl w:val="0"/>
          <w:numId w:val="35"/>
        </w:numPr>
        <w:spacing w:line="360" w:lineRule="auto"/>
        <w:ind w:left="360"/>
        <w:jc w:val="both"/>
      </w:pPr>
      <w:r w:rsidRPr="0035255A">
        <w:rPr>
          <w:lang w:val="de-DE"/>
        </w:rPr>
        <w:t xml:space="preserve">Abebe, A., Tadesse, W., &amp; Bekele, T. (2021). </w:t>
      </w:r>
      <w:r w:rsidRPr="00771436">
        <w:t xml:space="preserve">Plant diversity and ecological assessment of </w:t>
      </w:r>
      <w:proofErr w:type="spellStart"/>
      <w:r w:rsidRPr="00771436">
        <w:t>Humbo</w:t>
      </w:r>
      <w:proofErr w:type="spellEnd"/>
      <w:r w:rsidRPr="00771436">
        <w:t xml:space="preserve"> Forest, Southern Ethiopia. </w:t>
      </w:r>
      <w:r w:rsidRPr="00771436">
        <w:rPr>
          <w:rStyle w:val="Emphasis"/>
        </w:rPr>
        <w:t>Forest Ecology and Management</w:t>
      </w:r>
      <w:r w:rsidRPr="00771436">
        <w:t xml:space="preserve">, 486, 118947. </w:t>
      </w:r>
      <w:hyperlink r:id="rId18" w:history="1">
        <w:r w:rsidRPr="00771436">
          <w:rPr>
            <w:rStyle w:val="Hyperlink"/>
            <w:rFonts w:eastAsiaTheme="majorEastAsia"/>
          </w:rPr>
          <w:t>https://doi.org/10.1016/j.foreco.2021.118947</w:t>
        </w:r>
      </w:hyperlink>
      <w:r w:rsidRPr="00771436">
        <w:t xml:space="preserve"> </w:t>
      </w:r>
    </w:p>
    <w:p w14:paraId="721E3702" w14:textId="77777777" w:rsidR="00B806DC" w:rsidRPr="00771436" w:rsidRDefault="00B806DC" w:rsidP="00771436">
      <w:pPr>
        <w:pStyle w:val="NormalWeb"/>
        <w:numPr>
          <w:ilvl w:val="0"/>
          <w:numId w:val="35"/>
        </w:numPr>
        <w:spacing w:line="360" w:lineRule="auto"/>
        <w:ind w:left="360"/>
        <w:jc w:val="both"/>
      </w:pPr>
      <w:r w:rsidRPr="00771436">
        <w:t xml:space="preserve">Haile Adamu, A. (2020). A review of species richness and forest diversity in dry </w:t>
      </w:r>
      <w:proofErr w:type="spellStart"/>
      <w:r w:rsidRPr="00771436">
        <w:t>afromontane</w:t>
      </w:r>
      <w:proofErr w:type="spellEnd"/>
      <w:r w:rsidRPr="00771436">
        <w:t xml:space="preserve"> ecosystems of Ethiopia. </w:t>
      </w:r>
      <w:r w:rsidRPr="00771436">
        <w:rPr>
          <w:rStyle w:val="Emphasis"/>
        </w:rPr>
        <w:t>Ethiopian Journal of Biodiversity and Conservation</w:t>
      </w:r>
      <w:r w:rsidRPr="00771436">
        <w:t xml:space="preserve">, 33(1), 23-35. </w:t>
      </w:r>
      <w:hyperlink r:id="rId19" w:history="1">
        <w:r w:rsidRPr="00771436">
          <w:rPr>
            <w:rStyle w:val="Hyperlink"/>
            <w:rFonts w:eastAsiaTheme="majorEastAsia"/>
          </w:rPr>
          <w:t>https://doi.org/10.4314/ejbc.v33i1.3</w:t>
        </w:r>
      </w:hyperlink>
      <w:r w:rsidRPr="00771436">
        <w:t xml:space="preserve"> </w:t>
      </w:r>
    </w:p>
    <w:p w14:paraId="0C313AF8"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color w:val="00B050"/>
          <w:sz w:val="24"/>
          <w:szCs w:val="24"/>
        </w:rPr>
      </w:pPr>
      <w:r w:rsidRPr="00771436">
        <w:rPr>
          <w:rFonts w:ascii="Times New Roman" w:hAnsi="Times New Roman" w:cs="Times New Roman"/>
          <w:sz w:val="24"/>
          <w:szCs w:val="24"/>
        </w:rPr>
        <w:t xml:space="preserve">Semere Beyene, M. (2019). Tree species diversity and conservation status in the mid-altitude </w:t>
      </w:r>
      <w:proofErr w:type="spellStart"/>
      <w:r w:rsidRPr="00771436">
        <w:rPr>
          <w:rFonts w:ascii="Times New Roman" w:hAnsi="Times New Roman" w:cs="Times New Roman"/>
          <w:sz w:val="24"/>
          <w:szCs w:val="24"/>
        </w:rPr>
        <w:t>afromontane</w:t>
      </w:r>
      <w:proofErr w:type="spellEnd"/>
      <w:r w:rsidRPr="00771436">
        <w:rPr>
          <w:rFonts w:ascii="Times New Roman" w:hAnsi="Times New Roman" w:cs="Times New Roman"/>
          <w:sz w:val="24"/>
          <w:szCs w:val="24"/>
        </w:rPr>
        <w:t xml:space="preserve"> forests of Ethiopia. </w:t>
      </w:r>
      <w:r w:rsidRPr="00771436">
        <w:rPr>
          <w:rStyle w:val="Emphasis"/>
          <w:rFonts w:ascii="Times New Roman" w:hAnsi="Times New Roman" w:cs="Times New Roman"/>
          <w:sz w:val="24"/>
          <w:szCs w:val="24"/>
        </w:rPr>
        <w:t>Biodiversity and Conservation</w:t>
      </w:r>
      <w:r w:rsidRPr="00771436">
        <w:rPr>
          <w:rFonts w:ascii="Times New Roman" w:hAnsi="Times New Roman" w:cs="Times New Roman"/>
          <w:sz w:val="24"/>
          <w:szCs w:val="24"/>
        </w:rPr>
        <w:t xml:space="preserve">, 28(5), 1221-1236. </w:t>
      </w:r>
      <w:hyperlink r:id="rId20" w:history="1">
        <w:r w:rsidRPr="00771436">
          <w:rPr>
            <w:rStyle w:val="Hyperlink"/>
            <w:rFonts w:ascii="Times New Roman" w:eastAsiaTheme="majorEastAsia" w:hAnsi="Times New Roman" w:cs="Times New Roman"/>
            <w:sz w:val="24"/>
            <w:szCs w:val="24"/>
          </w:rPr>
          <w:t>https://doi.org/10.1007/s10531-019-01758-7</w:t>
        </w:r>
      </w:hyperlink>
    </w:p>
    <w:p w14:paraId="57AFFDA8"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Kidanemariam Kassahun, H., &amp; Lemmessa Kumssa, A. (2019). </w:t>
      </w:r>
      <w:r w:rsidRPr="00771436">
        <w:t xml:space="preserve">An ecological study of woody plant diversity in Ethiopia </w:t>
      </w:r>
      <w:proofErr w:type="spellStart"/>
      <w:r w:rsidRPr="00771436">
        <w:t>afromontane</w:t>
      </w:r>
      <w:proofErr w:type="spellEnd"/>
      <w:r w:rsidRPr="00771436">
        <w:t xml:space="preserve"> forests. </w:t>
      </w:r>
      <w:r w:rsidRPr="00771436">
        <w:rPr>
          <w:rStyle w:val="Emphasis"/>
        </w:rPr>
        <w:t>Journal of Forest Research</w:t>
      </w:r>
      <w:r w:rsidRPr="00771436">
        <w:t xml:space="preserve">, 14(2), 341-358. </w:t>
      </w:r>
      <w:hyperlink r:id="rId21" w:history="1">
        <w:r w:rsidRPr="00771436">
          <w:rPr>
            <w:rStyle w:val="Hyperlink"/>
            <w:rFonts w:eastAsiaTheme="majorEastAsia"/>
          </w:rPr>
          <w:t>https://doi.org/10.1007/s10310-018-0685-z</w:t>
        </w:r>
      </w:hyperlink>
      <w:r w:rsidRPr="00771436">
        <w:t xml:space="preserve"> </w:t>
      </w:r>
    </w:p>
    <w:p w14:paraId="15A2ED67" w14:textId="77777777" w:rsidR="00B806DC" w:rsidRPr="00771436" w:rsidRDefault="00A1074E" w:rsidP="00771436">
      <w:pPr>
        <w:pStyle w:val="ListParagraph"/>
        <w:numPr>
          <w:ilvl w:val="0"/>
          <w:numId w:val="35"/>
        </w:numPr>
        <w:spacing w:line="360" w:lineRule="auto"/>
        <w:ind w:left="360"/>
        <w:rPr>
          <w:rFonts w:ascii="Times New Roman" w:hAnsi="Times New Roman" w:cs="Times New Roman"/>
          <w:sz w:val="24"/>
          <w:szCs w:val="24"/>
        </w:rPr>
      </w:pPr>
      <w:proofErr w:type="spellStart"/>
      <w:r w:rsidRPr="00771436">
        <w:rPr>
          <w:rFonts w:ascii="Times New Roman" w:hAnsi="Times New Roman" w:cs="Times New Roman"/>
          <w:sz w:val="24"/>
          <w:szCs w:val="24"/>
        </w:rPr>
        <w:t>Lemessa</w:t>
      </w:r>
      <w:proofErr w:type="spellEnd"/>
      <w:r w:rsidRPr="00771436">
        <w:rPr>
          <w:rFonts w:ascii="Times New Roman" w:hAnsi="Times New Roman" w:cs="Times New Roman"/>
          <w:sz w:val="24"/>
          <w:szCs w:val="24"/>
        </w:rPr>
        <w:t xml:space="preserve"> D, </w:t>
      </w:r>
      <w:proofErr w:type="spellStart"/>
      <w:r w:rsidRPr="00771436">
        <w:rPr>
          <w:rFonts w:ascii="Times New Roman" w:hAnsi="Times New Roman" w:cs="Times New Roman"/>
          <w:sz w:val="24"/>
          <w:szCs w:val="24"/>
        </w:rPr>
        <w:t>Hylander</w:t>
      </w:r>
      <w:proofErr w:type="spellEnd"/>
      <w:r w:rsidRPr="00771436">
        <w:rPr>
          <w:rFonts w:ascii="Times New Roman" w:hAnsi="Times New Roman" w:cs="Times New Roman"/>
          <w:sz w:val="24"/>
          <w:szCs w:val="24"/>
        </w:rPr>
        <w:t xml:space="preserve"> K, </w:t>
      </w:r>
      <w:proofErr w:type="spellStart"/>
      <w:r w:rsidRPr="00771436">
        <w:rPr>
          <w:rFonts w:ascii="Times New Roman" w:hAnsi="Times New Roman" w:cs="Times New Roman"/>
          <w:sz w:val="24"/>
          <w:szCs w:val="24"/>
        </w:rPr>
        <w:t>Hambäck</w:t>
      </w:r>
      <w:proofErr w:type="spellEnd"/>
      <w:r w:rsidRPr="00771436">
        <w:rPr>
          <w:rFonts w:ascii="Times New Roman" w:hAnsi="Times New Roman" w:cs="Times New Roman"/>
          <w:sz w:val="24"/>
          <w:szCs w:val="24"/>
        </w:rPr>
        <w:t xml:space="preserve"> P. Composition of crops and land-use types in relation to crop raiding pattern at different distances from forests. </w:t>
      </w:r>
      <w:proofErr w:type="spellStart"/>
      <w:r w:rsidRPr="00771436">
        <w:rPr>
          <w:rFonts w:ascii="Times New Roman" w:hAnsi="Times New Roman" w:cs="Times New Roman"/>
          <w:sz w:val="24"/>
          <w:szCs w:val="24"/>
        </w:rPr>
        <w:t>Agric</w:t>
      </w:r>
      <w:proofErr w:type="spellEnd"/>
      <w:r w:rsidRPr="00771436">
        <w:rPr>
          <w:rFonts w:ascii="Times New Roman" w:hAnsi="Times New Roman" w:cs="Times New Roman"/>
          <w:sz w:val="24"/>
          <w:szCs w:val="24"/>
        </w:rPr>
        <w:t xml:space="preserve"> </w:t>
      </w:r>
      <w:proofErr w:type="spellStart"/>
      <w:r w:rsidRPr="00771436">
        <w:rPr>
          <w:rFonts w:ascii="Times New Roman" w:hAnsi="Times New Roman" w:cs="Times New Roman"/>
          <w:sz w:val="24"/>
          <w:szCs w:val="24"/>
        </w:rPr>
        <w:t>Ecosyst</w:t>
      </w:r>
      <w:proofErr w:type="spellEnd"/>
      <w:r w:rsidRPr="00771436">
        <w:rPr>
          <w:rFonts w:ascii="Times New Roman" w:hAnsi="Times New Roman" w:cs="Times New Roman"/>
          <w:sz w:val="24"/>
          <w:szCs w:val="24"/>
        </w:rPr>
        <w:t xml:space="preserve"> Environ. 2013;167:71–7</w:t>
      </w:r>
    </w:p>
    <w:p w14:paraId="267A33F4" w14:textId="77777777" w:rsidR="00B806DC" w:rsidRPr="00771436" w:rsidRDefault="00B806DC" w:rsidP="00771436">
      <w:pPr>
        <w:pStyle w:val="NormalWeb"/>
        <w:numPr>
          <w:ilvl w:val="0"/>
          <w:numId w:val="35"/>
        </w:numPr>
        <w:spacing w:line="360" w:lineRule="auto"/>
        <w:ind w:left="360"/>
        <w:jc w:val="both"/>
      </w:pPr>
      <w:r w:rsidRPr="00771436">
        <w:lastRenderedPageBreak/>
        <w:t xml:space="preserve">Adugna, W., Teshome, D., &amp; Getachew, K. (2021). Species composition and structure of woody plants in the Gole community-managed forest, Ethiopia. </w:t>
      </w:r>
      <w:r w:rsidRPr="00771436">
        <w:rPr>
          <w:rStyle w:val="Emphasis"/>
        </w:rPr>
        <w:t>Tropical Ecology</w:t>
      </w:r>
      <w:r w:rsidRPr="00771436">
        <w:t xml:space="preserve">, 62(2), 265-278. </w:t>
      </w:r>
      <w:hyperlink r:id="rId22" w:history="1">
        <w:r w:rsidRPr="00771436">
          <w:rPr>
            <w:rStyle w:val="Hyperlink"/>
            <w:rFonts w:eastAsiaTheme="majorEastAsia"/>
          </w:rPr>
          <w:t>https://doi.org/10.1007/s42965-021-00138-6</w:t>
        </w:r>
        <w:r w:rsidRPr="00771436">
          <w:rPr>
            <w:rStyle w:val="Hyperlink"/>
          </w:rPr>
          <w:t>6</w:t>
        </w:r>
      </w:hyperlink>
      <w:r w:rsidRPr="00771436">
        <w:t xml:space="preserve">. </w:t>
      </w:r>
    </w:p>
    <w:p w14:paraId="3927DF93" w14:textId="77777777" w:rsidR="00B806DC" w:rsidRPr="00771436" w:rsidRDefault="00B806DC" w:rsidP="00771436">
      <w:pPr>
        <w:pStyle w:val="NormalWeb"/>
        <w:numPr>
          <w:ilvl w:val="0"/>
          <w:numId w:val="35"/>
        </w:numPr>
        <w:spacing w:line="360" w:lineRule="auto"/>
        <w:ind w:left="360"/>
        <w:jc w:val="both"/>
      </w:pPr>
      <w:r w:rsidRPr="00771436">
        <w:t xml:space="preserve">Biniam, A. (2020). Structural and Functional Diversity of Tree Species in Gole Community Forest. </w:t>
      </w:r>
      <w:r w:rsidRPr="00771436">
        <w:rPr>
          <w:rStyle w:val="Emphasis"/>
        </w:rPr>
        <w:t>Journal of Forestry and Environment Management</w:t>
      </w:r>
      <w:r w:rsidRPr="00771436">
        <w:t xml:space="preserve">, 4(2), 99-111. </w:t>
      </w:r>
      <w:hyperlink r:id="rId23" w:history="1">
        <w:r w:rsidRPr="00771436">
          <w:rPr>
            <w:rStyle w:val="Hyperlink"/>
            <w:rFonts w:eastAsiaTheme="majorEastAsia"/>
          </w:rPr>
          <w:t>https://doi.org/10.11648/j.jfem.2020.04.02.13</w:t>
        </w:r>
      </w:hyperlink>
      <w:r w:rsidRPr="00771436">
        <w:t xml:space="preserve">. </w:t>
      </w:r>
    </w:p>
    <w:p w14:paraId="49B8CC44"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Chao, N., Wu, M., &amp; Zhang, Y. (2023). </w:t>
      </w:r>
      <w:r w:rsidRPr="00771436">
        <w:t xml:space="preserve">Ecosystem dynamics and species coalescence in changing climates: Implications for forest management. </w:t>
      </w:r>
      <w:r w:rsidRPr="00771436">
        <w:rPr>
          <w:rStyle w:val="Emphasis"/>
        </w:rPr>
        <w:t>Ecological Indicators</w:t>
      </w:r>
      <w:r w:rsidRPr="00771436">
        <w:t xml:space="preserve">, 155, 109904. </w:t>
      </w:r>
      <w:hyperlink r:id="rId24" w:history="1">
        <w:r w:rsidRPr="00771436">
          <w:rPr>
            <w:rStyle w:val="Hyperlink"/>
            <w:rFonts w:eastAsiaTheme="majorEastAsia"/>
          </w:rPr>
          <w:t>https://doi.org/10.1016/j.ecolind.2023.109904</w:t>
        </w:r>
      </w:hyperlink>
      <w:r w:rsidRPr="00771436">
        <w:rPr>
          <w:rFonts w:eastAsiaTheme="majorEastAsia"/>
        </w:rPr>
        <w:t xml:space="preserve">. </w:t>
      </w:r>
    </w:p>
    <w:p w14:paraId="51811994" w14:textId="77777777" w:rsidR="00B806DC" w:rsidRPr="00771436" w:rsidRDefault="00C33E46"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Wyatt-Smith, J., 1987. THB MANAGEMENT OF TROPICAL MOIST FOREST FOR THE SUSTAINED PRODUCTION OF TIMBER: SOME ISSUES.</w:t>
      </w:r>
    </w:p>
    <w:p w14:paraId="60BF2A8A"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Verma, H., Bhat, A., &amp; Kaur, P. (1999). </w:t>
      </w:r>
      <w:r w:rsidRPr="00771436">
        <w:t xml:space="preserve">Importance of species composition and structure in conservation strategies. </w:t>
      </w:r>
      <w:r w:rsidRPr="00771436">
        <w:rPr>
          <w:rStyle w:val="Emphasis"/>
        </w:rPr>
        <w:t>Journal of Environmental Management</w:t>
      </w:r>
      <w:r w:rsidRPr="00771436">
        <w:t xml:space="preserve">, 56(3), 271-282. </w:t>
      </w:r>
      <w:hyperlink r:id="rId25" w:history="1">
        <w:r w:rsidRPr="00771436">
          <w:rPr>
            <w:rStyle w:val="Hyperlink"/>
            <w:rFonts w:eastAsiaTheme="majorEastAsia"/>
          </w:rPr>
          <w:t>https://doi.org/10.1006/jema.1998.0256</w:t>
        </w:r>
      </w:hyperlink>
      <w:r w:rsidRPr="00771436">
        <w:t xml:space="preserve"> </w:t>
      </w:r>
    </w:p>
    <w:p w14:paraId="20CFDFEE" w14:textId="77777777" w:rsidR="00B806DC" w:rsidRPr="00771436" w:rsidRDefault="00B806DC" w:rsidP="00771436">
      <w:pPr>
        <w:pStyle w:val="NormalWeb"/>
        <w:numPr>
          <w:ilvl w:val="0"/>
          <w:numId w:val="35"/>
        </w:numPr>
        <w:spacing w:line="360" w:lineRule="auto"/>
        <w:ind w:left="360"/>
        <w:jc w:val="both"/>
      </w:pPr>
      <w:r w:rsidRPr="00771436">
        <w:t xml:space="preserve">Dereje, A., Alemayehu, W., &amp; Gashaw, T. (2022). Seedling regeneration patterns in the Dry Afromontane Forest of Gara Ades, Ethiopia: Implications for conservation. </w:t>
      </w:r>
      <w:r w:rsidRPr="00771436">
        <w:rPr>
          <w:rStyle w:val="Emphasis"/>
        </w:rPr>
        <w:t>Ethiopian Journal of Biological Sciences</w:t>
      </w:r>
      <w:r w:rsidRPr="00771436">
        <w:t xml:space="preserve">, 21(1), 25-38. </w:t>
      </w:r>
      <w:hyperlink r:id="rId26" w:history="1">
        <w:r w:rsidRPr="00771436">
          <w:rPr>
            <w:rStyle w:val="Hyperlink"/>
            <w:rFonts w:eastAsiaTheme="majorEastAsia"/>
          </w:rPr>
          <w:t>https://doi.org/10.4314/ejbs.v21i1.4</w:t>
        </w:r>
      </w:hyperlink>
      <w:r w:rsidRPr="00771436">
        <w:t xml:space="preserve"> </w:t>
      </w:r>
    </w:p>
    <w:p w14:paraId="61CE613C" w14:textId="77777777" w:rsidR="00B806DC" w:rsidRPr="00771436" w:rsidRDefault="00B806DC" w:rsidP="00771436">
      <w:pPr>
        <w:pStyle w:val="NormalWeb"/>
        <w:numPr>
          <w:ilvl w:val="0"/>
          <w:numId w:val="35"/>
        </w:numPr>
        <w:spacing w:line="360" w:lineRule="auto"/>
        <w:ind w:left="360"/>
        <w:jc w:val="both"/>
      </w:pPr>
      <w:r w:rsidRPr="00771436">
        <w:t xml:space="preserve">Hailu, G., Getachew, K., &amp; Melaku, B. (2023). Assessment of sapling and seedling density in </w:t>
      </w:r>
      <w:proofErr w:type="spellStart"/>
      <w:r w:rsidRPr="00771436">
        <w:t>Munessa-Shashemene</w:t>
      </w:r>
      <w:proofErr w:type="spellEnd"/>
      <w:r w:rsidRPr="00771436">
        <w:t xml:space="preserve"> Forest, Ethiopia. </w:t>
      </w:r>
      <w:r w:rsidRPr="00771436">
        <w:rPr>
          <w:rStyle w:val="Emphasis"/>
        </w:rPr>
        <w:t>Journal of Forestry Research</w:t>
      </w:r>
      <w:r w:rsidRPr="00771436">
        <w:t xml:space="preserve">, 34(2), 145-158. </w:t>
      </w:r>
      <w:hyperlink r:id="rId27" w:history="1">
        <w:r w:rsidRPr="00771436">
          <w:rPr>
            <w:rStyle w:val="Hyperlink"/>
            <w:rFonts w:eastAsiaTheme="majorEastAsia"/>
          </w:rPr>
          <w:t>https://doi.org/10.1007/s11676-022-01494-7</w:t>
        </w:r>
      </w:hyperlink>
      <w:r w:rsidRPr="00771436">
        <w:t xml:space="preserve"> </w:t>
      </w:r>
    </w:p>
    <w:p w14:paraId="45752858"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color w:val="00B050"/>
          <w:sz w:val="24"/>
          <w:szCs w:val="24"/>
        </w:rPr>
      </w:pPr>
      <w:r w:rsidRPr="00771436">
        <w:rPr>
          <w:rFonts w:ascii="Times New Roman" w:hAnsi="Times New Roman" w:cs="Times New Roman"/>
          <w:sz w:val="24"/>
          <w:szCs w:val="24"/>
        </w:rPr>
        <w:t xml:space="preserve">Tadesse, E., Yared, S., &amp; </w:t>
      </w:r>
      <w:proofErr w:type="spellStart"/>
      <w:r w:rsidRPr="00771436">
        <w:rPr>
          <w:rFonts w:ascii="Times New Roman" w:hAnsi="Times New Roman" w:cs="Times New Roman"/>
          <w:sz w:val="24"/>
          <w:szCs w:val="24"/>
        </w:rPr>
        <w:t>Emiru</w:t>
      </w:r>
      <w:proofErr w:type="spellEnd"/>
      <w:r w:rsidRPr="00771436">
        <w:rPr>
          <w:rFonts w:ascii="Times New Roman" w:hAnsi="Times New Roman" w:cs="Times New Roman"/>
          <w:sz w:val="24"/>
          <w:szCs w:val="24"/>
        </w:rPr>
        <w:t xml:space="preserve">, T. (2024). Regeneration status and density of woody species in </w:t>
      </w:r>
      <w:proofErr w:type="spellStart"/>
      <w:r w:rsidRPr="00771436">
        <w:rPr>
          <w:rFonts w:ascii="Times New Roman" w:hAnsi="Times New Roman" w:cs="Times New Roman"/>
          <w:sz w:val="24"/>
          <w:szCs w:val="24"/>
        </w:rPr>
        <w:t>Menagesha</w:t>
      </w:r>
      <w:proofErr w:type="spellEnd"/>
      <w:r w:rsidRPr="00771436">
        <w:rPr>
          <w:rFonts w:ascii="Times New Roman" w:hAnsi="Times New Roman" w:cs="Times New Roman"/>
          <w:sz w:val="24"/>
          <w:szCs w:val="24"/>
        </w:rPr>
        <w:t xml:space="preserve"> </w:t>
      </w:r>
      <w:proofErr w:type="spellStart"/>
      <w:r w:rsidRPr="00771436">
        <w:rPr>
          <w:rFonts w:ascii="Times New Roman" w:hAnsi="Times New Roman" w:cs="Times New Roman"/>
          <w:sz w:val="24"/>
          <w:szCs w:val="24"/>
        </w:rPr>
        <w:t>Suba</w:t>
      </w:r>
      <w:proofErr w:type="spellEnd"/>
      <w:r w:rsidRPr="00771436">
        <w:rPr>
          <w:rFonts w:ascii="Times New Roman" w:hAnsi="Times New Roman" w:cs="Times New Roman"/>
          <w:sz w:val="24"/>
          <w:szCs w:val="24"/>
        </w:rPr>
        <w:t xml:space="preserve"> Forest, Ethiopia. </w:t>
      </w:r>
      <w:r w:rsidRPr="00771436">
        <w:rPr>
          <w:rStyle w:val="Emphasis"/>
          <w:rFonts w:ascii="Times New Roman" w:hAnsi="Times New Roman" w:cs="Times New Roman"/>
          <w:sz w:val="24"/>
          <w:szCs w:val="24"/>
        </w:rPr>
        <w:t>African Journal of Ecology</w:t>
      </w:r>
      <w:r w:rsidRPr="00771436">
        <w:rPr>
          <w:rFonts w:ascii="Times New Roman" w:hAnsi="Times New Roman" w:cs="Times New Roman"/>
          <w:sz w:val="24"/>
          <w:szCs w:val="24"/>
        </w:rPr>
        <w:t xml:space="preserve">, 62(1), 1-12. </w:t>
      </w:r>
      <w:hyperlink r:id="rId28" w:history="1">
        <w:r w:rsidRPr="00771436">
          <w:rPr>
            <w:rStyle w:val="Hyperlink"/>
            <w:rFonts w:ascii="Times New Roman" w:eastAsiaTheme="majorEastAsia" w:hAnsi="Times New Roman" w:cs="Times New Roman"/>
            <w:sz w:val="24"/>
            <w:szCs w:val="24"/>
          </w:rPr>
          <w:t>https://doi.org/10.1111/aje.13045</w:t>
        </w:r>
      </w:hyperlink>
      <w:r w:rsidRPr="00771436">
        <w:rPr>
          <w:rFonts w:ascii="Times New Roman" w:hAnsi="Times New Roman" w:cs="Times New Roman"/>
          <w:sz w:val="24"/>
          <w:szCs w:val="24"/>
        </w:rPr>
        <w:t xml:space="preserve"> </w:t>
      </w:r>
    </w:p>
    <w:p w14:paraId="3A9980E0" w14:textId="77777777" w:rsidR="00B806DC" w:rsidRPr="00771436" w:rsidRDefault="00B806DC" w:rsidP="00771436">
      <w:pPr>
        <w:pStyle w:val="NormalWeb"/>
        <w:numPr>
          <w:ilvl w:val="0"/>
          <w:numId w:val="35"/>
        </w:numPr>
        <w:spacing w:line="360" w:lineRule="auto"/>
        <w:ind w:left="360"/>
        <w:jc w:val="both"/>
      </w:pPr>
      <w:r w:rsidRPr="00771436">
        <w:t xml:space="preserve">Adugna, A., Tesfaye, K., &amp; Hussen, A. (2013). Tree species population structure and dynamics in central highlands of Ethiopia: implications for conservation. </w:t>
      </w:r>
      <w:r w:rsidRPr="00771436">
        <w:rPr>
          <w:rStyle w:val="Emphasis"/>
        </w:rPr>
        <w:t>Forest Ecology and Management</w:t>
      </w:r>
      <w:r w:rsidRPr="00771436">
        <w:t xml:space="preserve">, 289, 59-69. doi:10.1016/j.foreco.2012.10.001 </w:t>
      </w:r>
    </w:p>
    <w:p w14:paraId="2DF1E11A" w14:textId="77777777" w:rsidR="00B806DC" w:rsidRPr="00771436" w:rsidRDefault="00B806DC" w:rsidP="00771436">
      <w:pPr>
        <w:pStyle w:val="NormalWeb"/>
        <w:numPr>
          <w:ilvl w:val="0"/>
          <w:numId w:val="35"/>
        </w:numPr>
        <w:spacing w:line="360" w:lineRule="auto"/>
        <w:ind w:left="360"/>
        <w:jc w:val="both"/>
      </w:pPr>
      <w:r w:rsidRPr="00771436">
        <w:t xml:space="preserve">Asare, E., Agyeman, V., &amp; Akoto, R. (2021). Assessing the population dynamics of selected tree species in a logged tropical forest. </w:t>
      </w:r>
      <w:r w:rsidRPr="00771436">
        <w:rPr>
          <w:rStyle w:val="Emphasis"/>
        </w:rPr>
        <w:t>Journal of Forestry Research</w:t>
      </w:r>
      <w:r w:rsidRPr="00771436">
        <w:t>, 32(1), 45-59. doi:10.1007/s11676-020-01114-7</w:t>
      </w:r>
    </w:p>
    <w:p w14:paraId="3355601D" w14:textId="77777777" w:rsidR="00B806DC" w:rsidRPr="00771436" w:rsidRDefault="00B806DC" w:rsidP="00771436">
      <w:pPr>
        <w:pStyle w:val="NormalWeb"/>
        <w:numPr>
          <w:ilvl w:val="0"/>
          <w:numId w:val="35"/>
        </w:numPr>
        <w:spacing w:line="360" w:lineRule="auto"/>
        <w:ind w:left="360"/>
        <w:jc w:val="both"/>
      </w:pPr>
      <w:r w:rsidRPr="00771436">
        <w:lastRenderedPageBreak/>
        <w:t xml:space="preserve">Anup, K., Bhattarai, S., &amp; Khatri, B. (2013). Structure and diversity of tree species in community forests of Mid Hill Region, Nepal. </w:t>
      </w:r>
      <w:r w:rsidRPr="00771436">
        <w:rPr>
          <w:rStyle w:val="Emphasis"/>
        </w:rPr>
        <w:t>Forest Ecology and Management</w:t>
      </w:r>
      <w:r w:rsidRPr="00771436">
        <w:t xml:space="preserve">, 308, 23-34. doi:10.1016/j.foreco.2013.06.021  </w:t>
      </w:r>
    </w:p>
    <w:p w14:paraId="6D54FED1"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Kumar, A., Poudel, P., &amp; Manandhar, P. (2020). </w:t>
      </w:r>
      <w:r w:rsidRPr="00771436">
        <w:t xml:space="preserve">Community forest management and its ecological impacts in the Mid Hill region of Nepal. </w:t>
      </w:r>
      <w:r w:rsidRPr="00771436">
        <w:rPr>
          <w:rStyle w:val="Emphasis"/>
        </w:rPr>
        <w:t>Environmental Science and Policy</w:t>
      </w:r>
      <w:r w:rsidRPr="00771436">
        <w:t>, 107, 87–95. doi:10.1016/j.envsci.2019.03.008</w:t>
      </w:r>
    </w:p>
    <w:p w14:paraId="70C0804C"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Yohannes, T., Kandeh, S., &amp; Fentie, G. (2015). </w:t>
      </w:r>
      <w:r w:rsidRPr="00771436">
        <w:t xml:space="preserve">Structure and diversity of the Gera Moist Montane Forest in south-western Ethiopia. </w:t>
      </w:r>
      <w:r w:rsidRPr="00771436">
        <w:rPr>
          <w:rStyle w:val="Emphasis"/>
        </w:rPr>
        <w:t>Journal of Vegetation Science</w:t>
      </w:r>
      <w:r w:rsidRPr="00771436">
        <w:t>, 26(4), 743-753. doi:10.1111/jvs.12278</w:t>
      </w:r>
    </w:p>
    <w:p w14:paraId="2406E4DD" w14:textId="77777777" w:rsidR="00B806DC" w:rsidRPr="00771436" w:rsidRDefault="00B806DC" w:rsidP="00771436">
      <w:pPr>
        <w:pStyle w:val="NormalWeb"/>
        <w:numPr>
          <w:ilvl w:val="0"/>
          <w:numId w:val="35"/>
        </w:numPr>
        <w:spacing w:line="360" w:lineRule="auto"/>
        <w:ind w:left="360"/>
        <w:jc w:val="both"/>
      </w:pPr>
      <w:r w:rsidRPr="00771436">
        <w:t xml:space="preserve">Tura, S., Getahun, K., &amp; Mola, A. (2022). Forest dynamics and species composition in the Gera Moist Montane Forest, Southwestern Ethiopia. </w:t>
      </w:r>
      <w:r w:rsidRPr="00771436">
        <w:rPr>
          <w:rStyle w:val="Emphasis"/>
        </w:rPr>
        <w:t>African Journal of Ecology</w:t>
      </w:r>
      <w:r w:rsidRPr="00771436">
        <w:t>, 60(2), 175-185. doi:10.1111/aje.12944</w:t>
      </w:r>
    </w:p>
    <w:p w14:paraId="3786B280" w14:textId="77777777" w:rsidR="00B806DC" w:rsidRPr="00771436" w:rsidRDefault="00B806DC" w:rsidP="00771436">
      <w:pPr>
        <w:pStyle w:val="NormalWeb"/>
        <w:numPr>
          <w:ilvl w:val="0"/>
          <w:numId w:val="35"/>
        </w:numPr>
        <w:spacing w:line="360" w:lineRule="auto"/>
        <w:ind w:left="360"/>
        <w:jc w:val="both"/>
      </w:pPr>
      <w:r w:rsidRPr="00771436">
        <w:t xml:space="preserve">Admassu, K., Melaku, A., &amp; Teshome, T. (2019). Structure and composition of Gesh Moist Afromontane forest, Ethiopia: Implications for management and conservation. </w:t>
      </w:r>
      <w:r w:rsidRPr="00771436">
        <w:rPr>
          <w:rStyle w:val="Emphasis"/>
        </w:rPr>
        <w:t>Wetlands Ecology and Management</w:t>
      </w:r>
      <w:r w:rsidRPr="00771436">
        <w:t xml:space="preserve">, 27(5), 707-718. doi:10.1007/s11273-019-09698-8 </w:t>
      </w:r>
    </w:p>
    <w:p w14:paraId="457AA587" w14:textId="77777777" w:rsidR="00B806DC" w:rsidRPr="00061FC8" w:rsidRDefault="00B806DC" w:rsidP="000D27B9">
      <w:pPr>
        <w:pStyle w:val="NormalWeb"/>
        <w:numPr>
          <w:ilvl w:val="0"/>
          <w:numId w:val="35"/>
        </w:numPr>
        <w:spacing w:line="360" w:lineRule="auto"/>
        <w:ind w:left="360"/>
        <w:jc w:val="both"/>
      </w:pPr>
      <w:proofErr w:type="spellStart"/>
      <w:r w:rsidRPr="00061FC8">
        <w:t>Menale</w:t>
      </w:r>
      <w:proofErr w:type="spellEnd"/>
      <w:r w:rsidRPr="00061FC8">
        <w:t xml:space="preserve">, K., Geremew, D., &amp; Agyei, E. (2023). Analysis of tree growth in Gesh Moist Afromontane forest using allometric models: implications for sustainable forestry. </w:t>
      </w:r>
      <w:r w:rsidRPr="00061FC8">
        <w:rPr>
          <w:rStyle w:val="Emphasis"/>
        </w:rPr>
        <w:t>Forests</w:t>
      </w:r>
      <w:r w:rsidRPr="00061FC8">
        <w:t>, 14(3), 289. doi:10.3390/f14030289</w:t>
      </w:r>
    </w:p>
    <w:sectPr w:rsidR="00B806DC" w:rsidRPr="00061FC8" w:rsidSect="00D06B83">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bebe Worku" w:date="2024-12-28T16:08:00Z" w:initials="AW">
    <w:p w14:paraId="7BED5B30" w14:textId="1B90403A" w:rsidR="00EA0153" w:rsidRDefault="00EA0153">
      <w:pPr>
        <w:pStyle w:val="CommentText"/>
      </w:pPr>
      <w:r>
        <w:rPr>
          <w:rStyle w:val="CommentReference"/>
        </w:rPr>
        <w:annotationRef/>
      </w:r>
      <w:r>
        <w:t>Which researches you are talking about? If you are talking about the present study make it singular.</w:t>
      </w:r>
    </w:p>
  </w:comment>
  <w:comment w:id="12" w:author="Abebe Worku" w:date="2024-12-28T16:05:00Z" w:initials="AW">
    <w:p w14:paraId="071DB831" w14:textId="7C7DA9F0" w:rsidR="00EA0153" w:rsidRDefault="00EA0153">
      <w:pPr>
        <w:pStyle w:val="CommentText"/>
      </w:pPr>
      <w:r>
        <w:rPr>
          <w:rStyle w:val="CommentReference"/>
        </w:rPr>
        <w:annotationRef/>
      </w:r>
      <w:r>
        <w:t>It is the plant identified not the vegetation.</w:t>
      </w:r>
    </w:p>
  </w:comment>
  <w:comment w:id="13" w:author="Abebe Worku" w:date="2024-12-28T16:13:00Z" w:initials="AW">
    <w:p w14:paraId="1EA98D8F" w14:textId="120EABB0" w:rsidR="00136B17" w:rsidRDefault="00136B17">
      <w:pPr>
        <w:pStyle w:val="CommentText"/>
      </w:pPr>
      <w:r>
        <w:rPr>
          <w:rStyle w:val="CommentReference"/>
        </w:rPr>
        <w:annotationRef/>
      </w:r>
      <w:r>
        <w:t>Please provide exhaustive list of plant species present inside the plot as well as out of plots.</w:t>
      </w:r>
    </w:p>
  </w:comment>
  <w:comment w:id="14" w:author="Abebe Worku" w:date="2024-12-28T16:11:00Z" w:initials="AW">
    <w:p w14:paraId="07FCA8AC" w14:textId="502D9ECC" w:rsidR="00EA0153" w:rsidRDefault="00EA0153">
      <w:pPr>
        <w:pStyle w:val="CommentText"/>
      </w:pPr>
      <w:r>
        <w:rPr>
          <w:rStyle w:val="CommentReference"/>
        </w:rPr>
        <w:annotationRef/>
      </w:r>
      <w:r>
        <w:t xml:space="preserve">Needs citation. </w:t>
      </w:r>
    </w:p>
  </w:comment>
  <w:comment w:id="16" w:author="Abebe Worku" w:date="2024-12-28T15:58:00Z" w:initials="AW">
    <w:p w14:paraId="0B100CB0" w14:textId="5CFA1E1F" w:rsidR="00B84118" w:rsidRDefault="00B84118">
      <w:pPr>
        <w:pStyle w:val="CommentText"/>
      </w:pPr>
      <w:r>
        <w:rPr>
          <w:rStyle w:val="CommentReference"/>
        </w:rPr>
        <w:annotationRef/>
      </w:r>
      <w:r>
        <w:t>Please fulfill the missed values.</w:t>
      </w:r>
    </w:p>
  </w:comment>
  <w:comment w:id="17" w:author="Abebe Worku" w:date="2024-12-28T15:57:00Z" w:initials="AW">
    <w:p w14:paraId="2E4F14FA" w14:textId="78024B4F" w:rsidR="00B84118" w:rsidRDefault="00B84118">
      <w:pPr>
        <w:pStyle w:val="CommentText"/>
      </w:pPr>
      <w:r>
        <w:rPr>
          <w:rStyle w:val="CommentReference"/>
        </w:rPr>
        <w:annotationRef/>
      </w:r>
      <w:r>
        <w:t>What is the level for the second bar?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754D7" w14:textId="77777777" w:rsidR="0016417F" w:rsidRDefault="0016417F" w:rsidP="0035255A">
      <w:pPr>
        <w:spacing w:after="0" w:line="240" w:lineRule="auto"/>
      </w:pPr>
      <w:r>
        <w:separator/>
      </w:r>
    </w:p>
  </w:endnote>
  <w:endnote w:type="continuationSeparator" w:id="0">
    <w:p w14:paraId="7E111148" w14:textId="77777777" w:rsidR="0016417F" w:rsidRDefault="0016417F" w:rsidP="0035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6D34A" w14:textId="77777777" w:rsidR="0035255A" w:rsidRDefault="003525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EC00F" w14:textId="77777777" w:rsidR="0035255A" w:rsidRDefault="003525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02110" w14:textId="77777777" w:rsidR="0035255A" w:rsidRDefault="003525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407BA" w14:textId="77777777" w:rsidR="0016417F" w:rsidRDefault="0016417F" w:rsidP="0035255A">
      <w:pPr>
        <w:spacing w:after="0" w:line="240" w:lineRule="auto"/>
      </w:pPr>
      <w:r>
        <w:separator/>
      </w:r>
    </w:p>
  </w:footnote>
  <w:footnote w:type="continuationSeparator" w:id="0">
    <w:p w14:paraId="2A668646" w14:textId="77777777" w:rsidR="0016417F" w:rsidRDefault="0016417F" w:rsidP="0035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EB470" w14:textId="75958227" w:rsidR="0035255A" w:rsidRDefault="0016417F">
    <w:pPr>
      <w:pStyle w:val="Header"/>
    </w:pPr>
    <w:r>
      <w:rPr>
        <w:noProof/>
      </w:rPr>
      <w:pict w14:anchorId="686B4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50834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78479" w14:textId="5C88569E" w:rsidR="0035255A" w:rsidRDefault="0016417F">
    <w:pPr>
      <w:pStyle w:val="Header"/>
    </w:pPr>
    <w:r>
      <w:rPr>
        <w:noProof/>
      </w:rPr>
      <w:pict w14:anchorId="211924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50834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1D357" w14:textId="3219EDCB" w:rsidR="0035255A" w:rsidRDefault="0016417F">
    <w:pPr>
      <w:pStyle w:val="Header"/>
    </w:pPr>
    <w:r>
      <w:rPr>
        <w:noProof/>
      </w:rPr>
      <w:pict w14:anchorId="618B2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50834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34EC"/>
    <w:multiLevelType w:val="multilevel"/>
    <w:tmpl w:val="F612B7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24948BB"/>
    <w:multiLevelType w:val="multilevel"/>
    <w:tmpl w:val="F3AA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C784E"/>
    <w:multiLevelType w:val="multilevel"/>
    <w:tmpl w:val="225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5094"/>
    <w:multiLevelType w:val="multilevel"/>
    <w:tmpl w:val="06FA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14FA3"/>
    <w:multiLevelType w:val="multilevel"/>
    <w:tmpl w:val="57B42DBC"/>
    <w:lvl w:ilvl="0">
      <w:start w:val="1"/>
      <w:numFmt w:val="decimal"/>
      <w:lvlText w:val="%1."/>
      <w:lvlJc w:val="left"/>
      <w:pPr>
        <w:ind w:left="2430" w:hanging="360"/>
      </w:pPr>
      <w:rPr>
        <w:rFonts w:hint="default"/>
      </w:rPr>
    </w:lvl>
    <w:lvl w:ilvl="1">
      <w:start w:val="1"/>
      <w:numFmt w:val="decimal"/>
      <w:isLgl/>
      <w:lvlText w:val="%1.%2"/>
      <w:lvlJc w:val="left"/>
      <w:pPr>
        <w:ind w:left="2430" w:hanging="36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3870" w:hanging="1800"/>
      </w:pPr>
      <w:rPr>
        <w:rFonts w:hint="default"/>
      </w:rPr>
    </w:lvl>
  </w:abstractNum>
  <w:abstractNum w:abstractNumId="5">
    <w:nsid w:val="1F3A1C1F"/>
    <w:multiLevelType w:val="multilevel"/>
    <w:tmpl w:val="19006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CF14E4"/>
    <w:multiLevelType w:val="multilevel"/>
    <w:tmpl w:val="51849FA4"/>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372147A"/>
    <w:multiLevelType w:val="multilevel"/>
    <w:tmpl w:val="70943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C60CB"/>
    <w:multiLevelType w:val="multilevel"/>
    <w:tmpl w:val="4672ED2C"/>
    <w:lvl w:ilvl="0">
      <w:start w:val="1"/>
      <w:numFmt w:val="decimal"/>
      <w:lvlText w:val="%1."/>
      <w:lvlJc w:val="left"/>
      <w:pPr>
        <w:tabs>
          <w:tab w:val="num" w:pos="3690"/>
        </w:tabs>
        <w:ind w:left="369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5E4095"/>
    <w:multiLevelType w:val="multilevel"/>
    <w:tmpl w:val="B392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460A85"/>
    <w:multiLevelType w:val="multilevel"/>
    <w:tmpl w:val="6644B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497F6A"/>
    <w:multiLevelType w:val="multilevel"/>
    <w:tmpl w:val="CD802C38"/>
    <w:lvl w:ilvl="0">
      <w:start w:val="1"/>
      <w:numFmt w:val="decimal"/>
      <w:lvlText w:val="%1."/>
      <w:lvlJc w:val="left"/>
      <w:pPr>
        <w:tabs>
          <w:tab w:val="num" w:pos="5040"/>
        </w:tabs>
        <w:ind w:left="50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6C3BAC"/>
    <w:multiLevelType w:val="multilevel"/>
    <w:tmpl w:val="DA10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FA3DC1"/>
    <w:multiLevelType w:val="multilevel"/>
    <w:tmpl w:val="B36E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606BFE"/>
    <w:multiLevelType w:val="multilevel"/>
    <w:tmpl w:val="72406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6E4546"/>
    <w:multiLevelType w:val="hybridMultilevel"/>
    <w:tmpl w:val="D1867DE4"/>
    <w:lvl w:ilvl="0" w:tplc="A412F81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9C14D3"/>
    <w:multiLevelType w:val="hybridMultilevel"/>
    <w:tmpl w:val="C0A05BBE"/>
    <w:lvl w:ilvl="0" w:tplc="DC9AB4FA">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2561D4"/>
    <w:multiLevelType w:val="multilevel"/>
    <w:tmpl w:val="AD729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660173"/>
    <w:multiLevelType w:val="hybridMultilevel"/>
    <w:tmpl w:val="54EC466C"/>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E477FA"/>
    <w:multiLevelType w:val="multilevel"/>
    <w:tmpl w:val="0FCA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0A58B9"/>
    <w:multiLevelType w:val="multilevel"/>
    <w:tmpl w:val="FE964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2C2B9C"/>
    <w:multiLevelType w:val="multilevel"/>
    <w:tmpl w:val="9348D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E32F8A"/>
    <w:multiLevelType w:val="multilevel"/>
    <w:tmpl w:val="0B0C3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AB2AD6"/>
    <w:multiLevelType w:val="multilevel"/>
    <w:tmpl w:val="39749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F92F2B"/>
    <w:multiLevelType w:val="multilevel"/>
    <w:tmpl w:val="7FF2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087EF8"/>
    <w:multiLevelType w:val="multilevel"/>
    <w:tmpl w:val="ABE2A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A037F8"/>
    <w:multiLevelType w:val="multilevel"/>
    <w:tmpl w:val="D478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4F0594"/>
    <w:multiLevelType w:val="multilevel"/>
    <w:tmpl w:val="3B9AC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7403D0"/>
    <w:multiLevelType w:val="multilevel"/>
    <w:tmpl w:val="F2CE7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BAA3461"/>
    <w:multiLevelType w:val="multilevel"/>
    <w:tmpl w:val="6302C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A40B6F"/>
    <w:multiLevelType w:val="multilevel"/>
    <w:tmpl w:val="AAD0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A95F05"/>
    <w:multiLevelType w:val="multilevel"/>
    <w:tmpl w:val="29A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1D0E93"/>
    <w:multiLevelType w:val="multilevel"/>
    <w:tmpl w:val="7D9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420EA0"/>
    <w:multiLevelType w:val="multilevel"/>
    <w:tmpl w:val="696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B31552"/>
    <w:multiLevelType w:val="multilevel"/>
    <w:tmpl w:val="2134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32"/>
  </w:num>
  <w:num w:numId="4">
    <w:abstractNumId w:val="34"/>
  </w:num>
  <w:num w:numId="5">
    <w:abstractNumId w:val="17"/>
  </w:num>
  <w:num w:numId="6">
    <w:abstractNumId w:val="24"/>
  </w:num>
  <w:num w:numId="7">
    <w:abstractNumId w:val="13"/>
  </w:num>
  <w:num w:numId="8">
    <w:abstractNumId w:val="3"/>
  </w:num>
  <w:num w:numId="9">
    <w:abstractNumId w:val="9"/>
  </w:num>
  <w:num w:numId="10">
    <w:abstractNumId w:val="28"/>
  </w:num>
  <w:num w:numId="11">
    <w:abstractNumId w:val="20"/>
  </w:num>
  <w:num w:numId="12">
    <w:abstractNumId w:val="2"/>
  </w:num>
  <w:num w:numId="13">
    <w:abstractNumId w:val="26"/>
  </w:num>
  <w:num w:numId="14">
    <w:abstractNumId w:val="33"/>
  </w:num>
  <w:num w:numId="15">
    <w:abstractNumId w:val="12"/>
  </w:num>
  <w:num w:numId="16">
    <w:abstractNumId w:val="14"/>
  </w:num>
  <w:num w:numId="17">
    <w:abstractNumId w:val="1"/>
  </w:num>
  <w:num w:numId="18">
    <w:abstractNumId w:val="30"/>
  </w:num>
  <w:num w:numId="19">
    <w:abstractNumId w:val="19"/>
  </w:num>
  <w:num w:numId="20">
    <w:abstractNumId w:val="31"/>
  </w:num>
  <w:num w:numId="21">
    <w:abstractNumId w:val="27"/>
  </w:num>
  <w:num w:numId="22">
    <w:abstractNumId w:val="29"/>
  </w:num>
  <w:num w:numId="23">
    <w:abstractNumId w:val="25"/>
  </w:num>
  <w:num w:numId="24">
    <w:abstractNumId w:val="7"/>
  </w:num>
  <w:num w:numId="25">
    <w:abstractNumId w:val="10"/>
  </w:num>
  <w:num w:numId="26">
    <w:abstractNumId w:val="22"/>
  </w:num>
  <w:num w:numId="27">
    <w:abstractNumId w:val="21"/>
  </w:num>
  <w:num w:numId="28">
    <w:abstractNumId w:val="5"/>
  </w:num>
  <w:num w:numId="29">
    <w:abstractNumId w:val="6"/>
  </w:num>
  <w:num w:numId="30">
    <w:abstractNumId w:val="4"/>
  </w:num>
  <w:num w:numId="31">
    <w:abstractNumId w:val="23"/>
  </w:num>
  <w:num w:numId="32">
    <w:abstractNumId w:val="0"/>
  </w:num>
  <w:num w:numId="33">
    <w:abstractNumId w:val="18"/>
  </w:num>
  <w:num w:numId="34">
    <w:abstractNumId w:val="1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77"/>
    <w:rsid w:val="00061FC8"/>
    <w:rsid w:val="000C0579"/>
    <w:rsid w:val="000D27B9"/>
    <w:rsid w:val="000F45AC"/>
    <w:rsid w:val="00136B17"/>
    <w:rsid w:val="0014175A"/>
    <w:rsid w:val="00143E20"/>
    <w:rsid w:val="00150B9E"/>
    <w:rsid w:val="00153EE8"/>
    <w:rsid w:val="0016417F"/>
    <w:rsid w:val="0020411A"/>
    <w:rsid w:val="00204845"/>
    <w:rsid w:val="0023684B"/>
    <w:rsid w:val="002A5477"/>
    <w:rsid w:val="002B1D68"/>
    <w:rsid w:val="0035255A"/>
    <w:rsid w:val="00356888"/>
    <w:rsid w:val="003A270E"/>
    <w:rsid w:val="003A5E2E"/>
    <w:rsid w:val="003A7E1E"/>
    <w:rsid w:val="003B579B"/>
    <w:rsid w:val="004003F5"/>
    <w:rsid w:val="00444BB8"/>
    <w:rsid w:val="0046201E"/>
    <w:rsid w:val="00470F62"/>
    <w:rsid w:val="00501D5D"/>
    <w:rsid w:val="005035B2"/>
    <w:rsid w:val="00541C81"/>
    <w:rsid w:val="005A538A"/>
    <w:rsid w:val="005A5518"/>
    <w:rsid w:val="006850E1"/>
    <w:rsid w:val="007360DC"/>
    <w:rsid w:val="00771436"/>
    <w:rsid w:val="007F66D2"/>
    <w:rsid w:val="00823991"/>
    <w:rsid w:val="008806A5"/>
    <w:rsid w:val="008D5E6F"/>
    <w:rsid w:val="0090386B"/>
    <w:rsid w:val="00911A20"/>
    <w:rsid w:val="00930DD8"/>
    <w:rsid w:val="009A6F02"/>
    <w:rsid w:val="009C6B61"/>
    <w:rsid w:val="009F21B2"/>
    <w:rsid w:val="00A1074E"/>
    <w:rsid w:val="00A12A9C"/>
    <w:rsid w:val="00AB6177"/>
    <w:rsid w:val="00AB6F98"/>
    <w:rsid w:val="00B24362"/>
    <w:rsid w:val="00B6311D"/>
    <w:rsid w:val="00B70AC0"/>
    <w:rsid w:val="00B76236"/>
    <w:rsid w:val="00B806DC"/>
    <w:rsid w:val="00B84118"/>
    <w:rsid w:val="00C14286"/>
    <w:rsid w:val="00C33E46"/>
    <w:rsid w:val="00C76E15"/>
    <w:rsid w:val="00CA7AB4"/>
    <w:rsid w:val="00D06B83"/>
    <w:rsid w:val="00D42F87"/>
    <w:rsid w:val="00DD7C75"/>
    <w:rsid w:val="00DE603B"/>
    <w:rsid w:val="00E237E4"/>
    <w:rsid w:val="00E43B7D"/>
    <w:rsid w:val="00E6704C"/>
    <w:rsid w:val="00EA0153"/>
    <w:rsid w:val="00EB4FD5"/>
    <w:rsid w:val="00EB662F"/>
    <w:rsid w:val="00EF0E43"/>
    <w:rsid w:val="00F53612"/>
    <w:rsid w:val="00F81305"/>
    <w:rsid w:val="00F8228C"/>
    <w:rsid w:val="00F97481"/>
    <w:rsid w:val="00F9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B5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E6F"/>
  </w:style>
  <w:style w:type="paragraph" w:styleId="Heading1">
    <w:name w:val="heading 1"/>
    <w:basedOn w:val="Normal"/>
    <w:next w:val="Normal"/>
    <w:link w:val="Heading1Char"/>
    <w:uiPriority w:val="9"/>
    <w:qFormat/>
    <w:rsid w:val="003B57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53E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53E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53E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61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177"/>
    <w:rPr>
      <w:b/>
      <w:bCs/>
    </w:rPr>
  </w:style>
  <w:style w:type="character" w:customStyle="1" w:styleId="Heading3Char">
    <w:name w:val="Heading 3 Char"/>
    <w:basedOn w:val="DefaultParagraphFont"/>
    <w:link w:val="Heading3"/>
    <w:uiPriority w:val="9"/>
    <w:rsid w:val="00153EE8"/>
    <w:rPr>
      <w:rFonts w:ascii="Times New Roman" w:eastAsia="Times New Roman" w:hAnsi="Times New Roman" w:cs="Times New Roman"/>
      <w:b/>
      <w:bCs/>
      <w:sz w:val="27"/>
      <w:szCs w:val="27"/>
    </w:rPr>
  </w:style>
  <w:style w:type="character" w:styleId="Emphasis">
    <w:name w:val="Emphasis"/>
    <w:basedOn w:val="DefaultParagraphFont"/>
    <w:uiPriority w:val="20"/>
    <w:qFormat/>
    <w:rsid w:val="00153EE8"/>
    <w:rPr>
      <w:i/>
      <w:iCs/>
    </w:rPr>
  </w:style>
  <w:style w:type="character" w:customStyle="1" w:styleId="Heading4Char">
    <w:name w:val="Heading 4 Char"/>
    <w:basedOn w:val="DefaultParagraphFont"/>
    <w:link w:val="Heading4"/>
    <w:uiPriority w:val="9"/>
    <w:semiHidden/>
    <w:rsid w:val="00153EE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53EE8"/>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3B579B"/>
    <w:pPr>
      <w:ind w:left="720"/>
      <w:contextualSpacing/>
    </w:pPr>
  </w:style>
  <w:style w:type="character" w:customStyle="1" w:styleId="Heading1Char">
    <w:name w:val="Heading 1 Char"/>
    <w:basedOn w:val="DefaultParagraphFont"/>
    <w:link w:val="Heading1"/>
    <w:uiPriority w:val="9"/>
    <w:rsid w:val="003B579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B5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79B"/>
    <w:rPr>
      <w:rFonts w:ascii="Tahoma" w:hAnsi="Tahoma" w:cs="Tahoma"/>
      <w:sz w:val="16"/>
      <w:szCs w:val="16"/>
    </w:rPr>
  </w:style>
  <w:style w:type="character" w:styleId="Hyperlink">
    <w:name w:val="Hyperlink"/>
    <w:basedOn w:val="DefaultParagraphFont"/>
    <w:uiPriority w:val="99"/>
    <w:unhideWhenUsed/>
    <w:rsid w:val="003B579B"/>
    <w:rPr>
      <w:color w:val="0000FF"/>
      <w:u w:val="single"/>
    </w:rPr>
  </w:style>
  <w:style w:type="paragraph" w:styleId="z-TopofForm">
    <w:name w:val="HTML Top of Form"/>
    <w:basedOn w:val="Normal"/>
    <w:next w:val="Normal"/>
    <w:link w:val="z-TopofFormChar"/>
    <w:hidden/>
    <w:uiPriority w:val="99"/>
    <w:semiHidden/>
    <w:unhideWhenUsed/>
    <w:rsid w:val="003B579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B579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B579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B579B"/>
    <w:rPr>
      <w:rFonts w:ascii="Arial" w:eastAsia="Times New Roman" w:hAnsi="Arial" w:cs="Arial"/>
      <w:vanish/>
      <w:sz w:val="16"/>
      <w:szCs w:val="16"/>
    </w:rPr>
  </w:style>
  <w:style w:type="character" w:customStyle="1" w:styleId="personname">
    <w:name w:val="person_name"/>
    <w:basedOn w:val="DefaultParagraphFont"/>
    <w:rsid w:val="00B6311D"/>
  </w:style>
  <w:style w:type="table" w:styleId="TableGrid">
    <w:name w:val="Table Grid"/>
    <w:basedOn w:val="TableNormal"/>
    <w:uiPriority w:val="59"/>
    <w:rsid w:val="003A5E2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2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55A"/>
  </w:style>
  <w:style w:type="paragraph" w:styleId="Footer">
    <w:name w:val="footer"/>
    <w:basedOn w:val="Normal"/>
    <w:link w:val="FooterChar"/>
    <w:uiPriority w:val="99"/>
    <w:unhideWhenUsed/>
    <w:rsid w:val="00352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55A"/>
  </w:style>
  <w:style w:type="character" w:styleId="CommentReference">
    <w:name w:val="annotation reference"/>
    <w:basedOn w:val="DefaultParagraphFont"/>
    <w:uiPriority w:val="99"/>
    <w:semiHidden/>
    <w:unhideWhenUsed/>
    <w:rsid w:val="00B84118"/>
    <w:rPr>
      <w:sz w:val="16"/>
      <w:szCs w:val="16"/>
    </w:rPr>
  </w:style>
  <w:style w:type="paragraph" w:styleId="CommentText">
    <w:name w:val="annotation text"/>
    <w:basedOn w:val="Normal"/>
    <w:link w:val="CommentTextChar"/>
    <w:uiPriority w:val="99"/>
    <w:semiHidden/>
    <w:unhideWhenUsed/>
    <w:rsid w:val="00B84118"/>
    <w:pPr>
      <w:spacing w:line="240" w:lineRule="auto"/>
    </w:pPr>
    <w:rPr>
      <w:sz w:val="20"/>
      <w:szCs w:val="20"/>
    </w:rPr>
  </w:style>
  <w:style w:type="character" w:customStyle="1" w:styleId="CommentTextChar">
    <w:name w:val="Comment Text Char"/>
    <w:basedOn w:val="DefaultParagraphFont"/>
    <w:link w:val="CommentText"/>
    <w:uiPriority w:val="99"/>
    <w:semiHidden/>
    <w:rsid w:val="00B84118"/>
    <w:rPr>
      <w:sz w:val="20"/>
      <w:szCs w:val="20"/>
    </w:rPr>
  </w:style>
  <w:style w:type="paragraph" w:styleId="CommentSubject">
    <w:name w:val="annotation subject"/>
    <w:basedOn w:val="CommentText"/>
    <w:next w:val="CommentText"/>
    <w:link w:val="CommentSubjectChar"/>
    <w:uiPriority w:val="99"/>
    <w:semiHidden/>
    <w:unhideWhenUsed/>
    <w:rsid w:val="00B84118"/>
    <w:rPr>
      <w:b/>
      <w:bCs/>
    </w:rPr>
  </w:style>
  <w:style w:type="character" w:customStyle="1" w:styleId="CommentSubjectChar">
    <w:name w:val="Comment Subject Char"/>
    <w:basedOn w:val="CommentTextChar"/>
    <w:link w:val="CommentSubject"/>
    <w:uiPriority w:val="99"/>
    <w:semiHidden/>
    <w:rsid w:val="00B841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E6F"/>
  </w:style>
  <w:style w:type="paragraph" w:styleId="Heading1">
    <w:name w:val="heading 1"/>
    <w:basedOn w:val="Normal"/>
    <w:next w:val="Normal"/>
    <w:link w:val="Heading1Char"/>
    <w:uiPriority w:val="9"/>
    <w:qFormat/>
    <w:rsid w:val="003B57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53E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53E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53E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61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177"/>
    <w:rPr>
      <w:b/>
      <w:bCs/>
    </w:rPr>
  </w:style>
  <w:style w:type="character" w:customStyle="1" w:styleId="Heading3Char">
    <w:name w:val="Heading 3 Char"/>
    <w:basedOn w:val="DefaultParagraphFont"/>
    <w:link w:val="Heading3"/>
    <w:uiPriority w:val="9"/>
    <w:rsid w:val="00153EE8"/>
    <w:rPr>
      <w:rFonts w:ascii="Times New Roman" w:eastAsia="Times New Roman" w:hAnsi="Times New Roman" w:cs="Times New Roman"/>
      <w:b/>
      <w:bCs/>
      <w:sz w:val="27"/>
      <w:szCs w:val="27"/>
    </w:rPr>
  </w:style>
  <w:style w:type="character" w:styleId="Emphasis">
    <w:name w:val="Emphasis"/>
    <w:basedOn w:val="DefaultParagraphFont"/>
    <w:uiPriority w:val="20"/>
    <w:qFormat/>
    <w:rsid w:val="00153EE8"/>
    <w:rPr>
      <w:i/>
      <w:iCs/>
    </w:rPr>
  </w:style>
  <w:style w:type="character" w:customStyle="1" w:styleId="Heading4Char">
    <w:name w:val="Heading 4 Char"/>
    <w:basedOn w:val="DefaultParagraphFont"/>
    <w:link w:val="Heading4"/>
    <w:uiPriority w:val="9"/>
    <w:semiHidden/>
    <w:rsid w:val="00153EE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53EE8"/>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3B579B"/>
    <w:pPr>
      <w:ind w:left="720"/>
      <w:contextualSpacing/>
    </w:pPr>
  </w:style>
  <w:style w:type="character" w:customStyle="1" w:styleId="Heading1Char">
    <w:name w:val="Heading 1 Char"/>
    <w:basedOn w:val="DefaultParagraphFont"/>
    <w:link w:val="Heading1"/>
    <w:uiPriority w:val="9"/>
    <w:rsid w:val="003B579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B5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79B"/>
    <w:rPr>
      <w:rFonts w:ascii="Tahoma" w:hAnsi="Tahoma" w:cs="Tahoma"/>
      <w:sz w:val="16"/>
      <w:szCs w:val="16"/>
    </w:rPr>
  </w:style>
  <w:style w:type="character" w:styleId="Hyperlink">
    <w:name w:val="Hyperlink"/>
    <w:basedOn w:val="DefaultParagraphFont"/>
    <w:uiPriority w:val="99"/>
    <w:unhideWhenUsed/>
    <w:rsid w:val="003B579B"/>
    <w:rPr>
      <w:color w:val="0000FF"/>
      <w:u w:val="single"/>
    </w:rPr>
  </w:style>
  <w:style w:type="paragraph" w:styleId="z-TopofForm">
    <w:name w:val="HTML Top of Form"/>
    <w:basedOn w:val="Normal"/>
    <w:next w:val="Normal"/>
    <w:link w:val="z-TopofFormChar"/>
    <w:hidden/>
    <w:uiPriority w:val="99"/>
    <w:semiHidden/>
    <w:unhideWhenUsed/>
    <w:rsid w:val="003B579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B579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B579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B579B"/>
    <w:rPr>
      <w:rFonts w:ascii="Arial" w:eastAsia="Times New Roman" w:hAnsi="Arial" w:cs="Arial"/>
      <w:vanish/>
      <w:sz w:val="16"/>
      <w:szCs w:val="16"/>
    </w:rPr>
  </w:style>
  <w:style w:type="character" w:customStyle="1" w:styleId="personname">
    <w:name w:val="person_name"/>
    <w:basedOn w:val="DefaultParagraphFont"/>
    <w:rsid w:val="00B6311D"/>
  </w:style>
  <w:style w:type="table" w:styleId="TableGrid">
    <w:name w:val="Table Grid"/>
    <w:basedOn w:val="TableNormal"/>
    <w:uiPriority w:val="59"/>
    <w:rsid w:val="003A5E2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2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55A"/>
  </w:style>
  <w:style w:type="paragraph" w:styleId="Footer">
    <w:name w:val="footer"/>
    <w:basedOn w:val="Normal"/>
    <w:link w:val="FooterChar"/>
    <w:uiPriority w:val="99"/>
    <w:unhideWhenUsed/>
    <w:rsid w:val="00352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55A"/>
  </w:style>
  <w:style w:type="character" w:styleId="CommentReference">
    <w:name w:val="annotation reference"/>
    <w:basedOn w:val="DefaultParagraphFont"/>
    <w:uiPriority w:val="99"/>
    <w:semiHidden/>
    <w:unhideWhenUsed/>
    <w:rsid w:val="00B84118"/>
    <w:rPr>
      <w:sz w:val="16"/>
      <w:szCs w:val="16"/>
    </w:rPr>
  </w:style>
  <w:style w:type="paragraph" w:styleId="CommentText">
    <w:name w:val="annotation text"/>
    <w:basedOn w:val="Normal"/>
    <w:link w:val="CommentTextChar"/>
    <w:uiPriority w:val="99"/>
    <w:semiHidden/>
    <w:unhideWhenUsed/>
    <w:rsid w:val="00B84118"/>
    <w:pPr>
      <w:spacing w:line="240" w:lineRule="auto"/>
    </w:pPr>
    <w:rPr>
      <w:sz w:val="20"/>
      <w:szCs w:val="20"/>
    </w:rPr>
  </w:style>
  <w:style w:type="character" w:customStyle="1" w:styleId="CommentTextChar">
    <w:name w:val="Comment Text Char"/>
    <w:basedOn w:val="DefaultParagraphFont"/>
    <w:link w:val="CommentText"/>
    <w:uiPriority w:val="99"/>
    <w:semiHidden/>
    <w:rsid w:val="00B84118"/>
    <w:rPr>
      <w:sz w:val="20"/>
      <w:szCs w:val="20"/>
    </w:rPr>
  </w:style>
  <w:style w:type="paragraph" w:styleId="CommentSubject">
    <w:name w:val="annotation subject"/>
    <w:basedOn w:val="CommentText"/>
    <w:next w:val="CommentText"/>
    <w:link w:val="CommentSubjectChar"/>
    <w:uiPriority w:val="99"/>
    <w:semiHidden/>
    <w:unhideWhenUsed/>
    <w:rsid w:val="00B84118"/>
    <w:rPr>
      <w:b/>
      <w:bCs/>
    </w:rPr>
  </w:style>
  <w:style w:type="character" w:customStyle="1" w:styleId="CommentSubjectChar">
    <w:name w:val="Comment Subject Char"/>
    <w:basedOn w:val="CommentTextChar"/>
    <w:link w:val="CommentSubject"/>
    <w:uiPriority w:val="99"/>
    <w:semiHidden/>
    <w:rsid w:val="00B841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4708">
      <w:bodyDiv w:val="1"/>
      <w:marLeft w:val="0"/>
      <w:marRight w:val="0"/>
      <w:marTop w:val="0"/>
      <w:marBottom w:val="0"/>
      <w:divBdr>
        <w:top w:val="none" w:sz="0" w:space="0" w:color="auto"/>
        <w:left w:val="none" w:sz="0" w:space="0" w:color="auto"/>
        <w:bottom w:val="none" w:sz="0" w:space="0" w:color="auto"/>
        <w:right w:val="none" w:sz="0" w:space="0" w:color="auto"/>
      </w:divBdr>
      <w:divsChild>
        <w:div w:id="911038767">
          <w:marLeft w:val="0"/>
          <w:marRight w:val="0"/>
          <w:marTop w:val="0"/>
          <w:marBottom w:val="0"/>
          <w:divBdr>
            <w:top w:val="none" w:sz="0" w:space="0" w:color="auto"/>
            <w:left w:val="none" w:sz="0" w:space="0" w:color="auto"/>
            <w:bottom w:val="none" w:sz="0" w:space="0" w:color="auto"/>
            <w:right w:val="none" w:sz="0" w:space="0" w:color="auto"/>
          </w:divBdr>
        </w:div>
      </w:divsChild>
    </w:div>
    <w:div w:id="124737820">
      <w:bodyDiv w:val="1"/>
      <w:marLeft w:val="0"/>
      <w:marRight w:val="0"/>
      <w:marTop w:val="0"/>
      <w:marBottom w:val="0"/>
      <w:divBdr>
        <w:top w:val="none" w:sz="0" w:space="0" w:color="auto"/>
        <w:left w:val="none" w:sz="0" w:space="0" w:color="auto"/>
        <w:bottom w:val="none" w:sz="0" w:space="0" w:color="auto"/>
        <w:right w:val="none" w:sz="0" w:space="0" w:color="auto"/>
      </w:divBdr>
      <w:divsChild>
        <w:div w:id="780301984">
          <w:marLeft w:val="0"/>
          <w:marRight w:val="0"/>
          <w:marTop w:val="0"/>
          <w:marBottom w:val="0"/>
          <w:divBdr>
            <w:top w:val="none" w:sz="0" w:space="0" w:color="auto"/>
            <w:left w:val="none" w:sz="0" w:space="0" w:color="auto"/>
            <w:bottom w:val="none" w:sz="0" w:space="0" w:color="auto"/>
            <w:right w:val="none" w:sz="0" w:space="0" w:color="auto"/>
          </w:divBdr>
        </w:div>
      </w:divsChild>
    </w:div>
    <w:div w:id="267352367">
      <w:bodyDiv w:val="1"/>
      <w:marLeft w:val="0"/>
      <w:marRight w:val="0"/>
      <w:marTop w:val="0"/>
      <w:marBottom w:val="0"/>
      <w:divBdr>
        <w:top w:val="none" w:sz="0" w:space="0" w:color="auto"/>
        <w:left w:val="none" w:sz="0" w:space="0" w:color="auto"/>
        <w:bottom w:val="none" w:sz="0" w:space="0" w:color="auto"/>
        <w:right w:val="none" w:sz="0" w:space="0" w:color="auto"/>
      </w:divBdr>
    </w:div>
    <w:div w:id="275873563">
      <w:bodyDiv w:val="1"/>
      <w:marLeft w:val="0"/>
      <w:marRight w:val="0"/>
      <w:marTop w:val="0"/>
      <w:marBottom w:val="0"/>
      <w:divBdr>
        <w:top w:val="none" w:sz="0" w:space="0" w:color="auto"/>
        <w:left w:val="none" w:sz="0" w:space="0" w:color="auto"/>
        <w:bottom w:val="none" w:sz="0" w:space="0" w:color="auto"/>
        <w:right w:val="none" w:sz="0" w:space="0" w:color="auto"/>
      </w:divBdr>
      <w:divsChild>
        <w:div w:id="437410556">
          <w:marLeft w:val="0"/>
          <w:marRight w:val="0"/>
          <w:marTop w:val="0"/>
          <w:marBottom w:val="0"/>
          <w:divBdr>
            <w:top w:val="none" w:sz="0" w:space="0" w:color="auto"/>
            <w:left w:val="none" w:sz="0" w:space="0" w:color="auto"/>
            <w:bottom w:val="none" w:sz="0" w:space="0" w:color="auto"/>
            <w:right w:val="none" w:sz="0" w:space="0" w:color="auto"/>
          </w:divBdr>
        </w:div>
      </w:divsChild>
    </w:div>
    <w:div w:id="323246406">
      <w:bodyDiv w:val="1"/>
      <w:marLeft w:val="0"/>
      <w:marRight w:val="0"/>
      <w:marTop w:val="0"/>
      <w:marBottom w:val="0"/>
      <w:divBdr>
        <w:top w:val="none" w:sz="0" w:space="0" w:color="auto"/>
        <w:left w:val="none" w:sz="0" w:space="0" w:color="auto"/>
        <w:bottom w:val="none" w:sz="0" w:space="0" w:color="auto"/>
        <w:right w:val="none" w:sz="0" w:space="0" w:color="auto"/>
      </w:divBdr>
    </w:div>
    <w:div w:id="367989796">
      <w:bodyDiv w:val="1"/>
      <w:marLeft w:val="0"/>
      <w:marRight w:val="0"/>
      <w:marTop w:val="0"/>
      <w:marBottom w:val="0"/>
      <w:divBdr>
        <w:top w:val="none" w:sz="0" w:space="0" w:color="auto"/>
        <w:left w:val="none" w:sz="0" w:space="0" w:color="auto"/>
        <w:bottom w:val="none" w:sz="0" w:space="0" w:color="auto"/>
        <w:right w:val="none" w:sz="0" w:space="0" w:color="auto"/>
      </w:divBdr>
      <w:divsChild>
        <w:div w:id="531764335">
          <w:marLeft w:val="240"/>
          <w:marRight w:val="240"/>
          <w:marTop w:val="210"/>
          <w:marBottom w:val="0"/>
          <w:divBdr>
            <w:top w:val="none" w:sz="0" w:space="0" w:color="auto"/>
            <w:left w:val="none" w:sz="0" w:space="0" w:color="auto"/>
            <w:bottom w:val="none" w:sz="0" w:space="0" w:color="auto"/>
            <w:right w:val="none" w:sz="0" w:space="0" w:color="auto"/>
          </w:divBdr>
          <w:divsChild>
            <w:div w:id="576935589">
              <w:marLeft w:val="0"/>
              <w:marRight w:val="0"/>
              <w:marTop w:val="0"/>
              <w:marBottom w:val="0"/>
              <w:divBdr>
                <w:top w:val="none" w:sz="0" w:space="0" w:color="auto"/>
                <w:left w:val="none" w:sz="0" w:space="0" w:color="auto"/>
                <w:bottom w:val="none" w:sz="0" w:space="0" w:color="auto"/>
                <w:right w:val="none" w:sz="0" w:space="0" w:color="auto"/>
              </w:divBdr>
            </w:div>
          </w:divsChild>
        </w:div>
        <w:div w:id="1911890696">
          <w:marLeft w:val="0"/>
          <w:marRight w:val="0"/>
          <w:marTop w:val="0"/>
          <w:marBottom w:val="0"/>
          <w:divBdr>
            <w:top w:val="none" w:sz="0" w:space="0" w:color="auto"/>
            <w:left w:val="none" w:sz="0" w:space="0" w:color="auto"/>
            <w:bottom w:val="none" w:sz="0" w:space="0" w:color="auto"/>
            <w:right w:val="none" w:sz="0" w:space="0" w:color="auto"/>
          </w:divBdr>
          <w:divsChild>
            <w:div w:id="875578813">
              <w:marLeft w:val="0"/>
              <w:marRight w:val="0"/>
              <w:marTop w:val="0"/>
              <w:marBottom w:val="0"/>
              <w:divBdr>
                <w:top w:val="none" w:sz="0" w:space="0" w:color="auto"/>
                <w:left w:val="none" w:sz="0" w:space="0" w:color="auto"/>
                <w:bottom w:val="none" w:sz="0" w:space="0" w:color="auto"/>
                <w:right w:val="none" w:sz="0" w:space="0" w:color="auto"/>
              </w:divBdr>
              <w:divsChild>
                <w:div w:id="1504735441">
                  <w:marLeft w:val="0"/>
                  <w:marRight w:val="0"/>
                  <w:marTop w:val="0"/>
                  <w:marBottom w:val="0"/>
                  <w:divBdr>
                    <w:top w:val="none" w:sz="0" w:space="0" w:color="auto"/>
                    <w:left w:val="none" w:sz="0" w:space="0" w:color="auto"/>
                    <w:bottom w:val="none" w:sz="0" w:space="0" w:color="auto"/>
                    <w:right w:val="none" w:sz="0" w:space="0" w:color="auto"/>
                  </w:divBdr>
                  <w:divsChild>
                    <w:div w:id="611286931">
                      <w:marLeft w:val="0"/>
                      <w:marRight w:val="0"/>
                      <w:marTop w:val="0"/>
                      <w:marBottom w:val="0"/>
                      <w:divBdr>
                        <w:top w:val="none" w:sz="0" w:space="0" w:color="auto"/>
                        <w:left w:val="none" w:sz="0" w:space="0" w:color="auto"/>
                        <w:bottom w:val="none" w:sz="0" w:space="0" w:color="auto"/>
                        <w:right w:val="none" w:sz="0" w:space="0" w:color="auto"/>
                      </w:divBdr>
                      <w:divsChild>
                        <w:div w:id="242838533">
                          <w:marLeft w:val="0"/>
                          <w:marRight w:val="0"/>
                          <w:marTop w:val="0"/>
                          <w:marBottom w:val="0"/>
                          <w:divBdr>
                            <w:top w:val="none" w:sz="0" w:space="0" w:color="auto"/>
                            <w:left w:val="none" w:sz="0" w:space="0" w:color="auto"/>
                            <w:bottom w:val="none" w:sz="0" w:space="0" w:color="auto"/>
                            <w:right w:val="none" w:sz="0" w:space="0" w:color="auto"/>
                          </w:divBdr>
                          <w:divsChild>
                            <w:div w:id="139662194">
                              <w:marLeft w:val="0"/>
                              <w:marRight w:val="0"/>
                              <w:marTop w:val="0"/>
                              <w:marBottom w:val="0"/>
                              <w:divBdr>
                                <w:top w:val="none" w:sz="0" w:space="0" w:color="auto"/>
                                <w:left w:val="none" w:sz="0" w:space="0" w:color="auto"/>
                                <w:bottom w:val="none" w:sz="0" w:space="0" w:color="auto"/>
                                <w:right w:val="none" w:sz="0" w:space="0" w:color="auto"/>
                              </w:divBdr>
                              <w:divsChild>
                                <w:div w:id="1215655457">
                                  <w:marLeft w:val="0"/>
                                  <w:marRight w:val="0"/>
                                  <w:marTop w:val="0"/>
                                  <w:marBottom w:val="0"/>
                                  <w:divBdr>
                                    <w:top w:val="none" w:sz="0" w:space="0" w:color="auto"/>
                                    <w:left w:val="none" w:sz="0" w:space="0" w:color="auto"/>
                                    <w:bottom w:val="none" w:sz="0" w:space="0" w:color="auto"/>
                                    <w:right w:val="none" w:sz="0" w:space="0" w:color="auto"/>
                                  </w:divBdr>
                                  <w:divsChild>
                                    <w:div w:id="1544705552">
                                      <w:marLeft w:val="0"/>
                                      <w:marRight w:val="0"/>
                                      <w:marTop w:val="0"/>
                                      <w:marBottom w:val="0"/>
                                      <w:divBdr>
                                        <w:top w:val="none" w:sz="0" w:space="0" w:color="auto"/>
                                        <w:left w:val="none" w:sz="0" w:space="0" w:color="auto"/>
                                        <w:bottom w:val="none" w:sz="0" w:space="0" w:color="auto"/>
                                        <w:right w:val="none" w:sz="0" w:space="0" w:color="auto"/>
                                      </w:divBdr>
                                      <w:divsChild>
                                        <w:div w:id="1032223451">
                                          <w:marLeft w:val="0"/>
                                          <w:marRight w:val="0"/>
                                          <w:marTop w:val="0"/>
                                          <w:marBottom w:val="0"/>
                                          <w:divBdr>
                                            <w:top w:val="none" w:sz="0" w:space="0" w:color="auto"/>
                                            <w:left w:val="none" w:sz="0" w:space="0" w:color="auto"/>
                                            <w:bottom w:val="none" w:sz="0" w:space="0" w:color="auto"/>
                                            <w:right w:val="none" w:sz="0" w:space="0" w:color="auto"/>
                                          </w:divBdr>
                                          <w:divsChild>
                                            <w:div w:id="17611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758811">
          <w:marLeft w:val="0"/>
          <w:marRight w:val="0"/>
          <w:marTop w:val="100"/>
          <w:marBottom w:val="100"/>
          <w:divBdr>
            <w:top w:val="none" w:sz="0" w:space="0" w:color="auto"/>
            <w:left w:val="none" w:sz="0" w:space="0" w:color="auto"/>
            <w:bottom w:val="none" w:sz="0" w:space="0" w:color="auto"/>
            <w:right w:val="none" w:sz="0" w:space="0" w:color="auto"/>
          </w:divBdr>
        </w:div>
        <w:div w:id="693575621">
          <w:marLeft w:val="0"/>
          <w:marRight w:val="0"/>
          <w:marTop w:val="0"/>
          <w:marBottom w:val="0"/>
          <w:divBdr>
            <w:top w:val="none" w:sz="0" w:space="0" w:color="auto"/>
            <w:left w:val="none" w:sz="0" w:space="0" w:color="auto"/>
            <w:bottom w:val="none" w:sz="0" w:space="0" w:color="auto"/>
            <w:right w:val="none" w:sz="0" w:space="0" w:color="auto"/>
          </w:divBdr>
          <w:divsChild>
            <w:div w:id="1418137932">
              <w:marLeft w:val="0"/>
              <w:marRight w:val="0"/>
              <w:marTop w:val="0"/>
              <w:marBottom w:val="0"/>
              <w:divBdr>
                <w:top w:val="none" w:sz="0" w:space="0" w:color="auto"/>
                <w:left w:val="none" w:sz="0" w:space="0" w:color="auto"/>
                <w:bottom w:val="none" w:sz="0" w:space="0" w:color="auto"/>
                <w:right w:val="none" w:sz="0" w:space="0" w:color="auto"/>
              </w:divBdr>
            </w:div>
          </w:divsChild>
        </w:div>
        <w:div w:id="396363282">
          <w:marLeft w:val="0"/>
          <w:marRight w:val="0"/>
          <w:marTop w:val="30"/>
          <w:marBottom w:val="180"/>
          <w:divBdr>
            <w:top w:val="none" w:sz="0" w:space="0" w:color="auto"/>
            <w:left w:val="none" w:sz="0" w:space="0" w:color="auto"/>
            <w:bottom w:val="none" w:sz="0" w:space="0" w:color="auto"/>
            <w:right w:val="none" w:sz="0" w:space="0" w:color="auto"/>
          </w:divBdr>
          <w:divsChild>
            <w:div w:id="1302541148">
              <w:marLeft w:val="0"/>
              <w:marRight w:val="0"/>
              <w:marTop w:val="0"/>
              <w:marBottom w:val="0"/>
              <w:divBdr>
                <w:top w:val="none" w:sz="0" w:space="0" w:color="auto"/>
                <w:left w:val="none" w:sz="0" w:space="0" w:color="auto"/>
                <w:bottom w:val="none" w:sz="0" w:space="0" w:color="auto"/>
                <w:right w:val="none" w:sz="0" w:space="0" w:color="auto"/>
              </w:divBdr>
              <w:divsChild>
                <w:div w:id="1372925350">
                  <w:marLeft w:val="0"/>
                  <w:marRight w:val="0"/>
                  <w:marTop w:val="0"/>
                  <w:marBottom w:val="0"/>
                  <w:divBdr>
                    <w:top w:val="none" w:sz="0" w:space="0" w:color="auto"/>
                    <w:left w:val="none" w:sz="0" w:space="0" w:color="auto"/>
                    <w:bottom w:val="none" w:sz="0" w:space="0" w:color="auto"/>
                    <w:right w:val="none" w:sz="0" w:space="0" w:color="auto"/>
                  </w:divBdr>
                </w:div>
              </w:divsChild>
            </w:div>
            <w:div w:id="1934439518">
              <w:marLeft w:val="0"/>
              <w:marRight w:val="0"/>
              <w:marTop w:val="180"/>
              <w:marBottom w:val="0"/>
              <w:divBdr>
                <w:top w:val="none" w:sz="0" w:space="0" w:color="auto"/>
                <w:left w:val="none" w:sz="0" w:space="0" w:color="auto"/>
                <w:bottom w:val="none" w:sz="0" w:space="0" w:color="auto"/>
                <w:right w:val="none" w:sz="0" w:space="0" w:color="auto"/>
              </w:divBdr>
              <w:divsChild>
                <w:div w:id="1687901392">
                  <w:marLeft w:val="0"/>
                  <w:marRight w:val="0"/>
                  <w:marTop w:val="0"/>
                  <w:marBottom w:val="0"/>
                  <w:divBdr>
                    <w:top w:val="none" w:sz="0" w:space="0" w:color="auto"/>
                    <w:left w:val="none" w:sz="0" w:space="0" w:color="auto"/>
                    <w:bottom w:val="none" w:sz="0" w:space="0" w:color="auto"/>
                    <w:right w:val="none" w:sz="0" w:space="0" w:color="auto"/>
                  </w:divBdr>
                </w:div>
                <w:div w:id="15462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80946">
          <w:marLeft w:val="0"/>
          <w:marRight w:val="0"/>
          <w:marTop w:val="0"/>
          <w:marBottom w:val="0"/>
          <w:divBdr>
            <w:top w:val="none" w:sz="0" w:space="0" w:color="auto"/>
            <w:left w:val="none" w:sz="0" w:space="0" w:color="auto"/>
            <w:bottom w:val="none" w:sz="0" w:space="0" w:color="auto"/>
            <w:right w:val="none" w:sz="0" w:space="0" w:color="auto"/>
          </w:divBdr>
          <w:divsChild>
            <w:div w:id="1934896766">
              <w:marLeft w:val="0"/>
              <w:marRight w:val="0"/>
              <w:marTop w:val="0"/>
              <w:marBottom w:val="0"/>
              <w:divBdr>
                <w:top w:val="none" w:sz="0" w:space="0" w:color="auto"/>
                <w:left w:val="none" w:sz="0" w:space="0" w:color="auto"/>
                <w:bottom w:val="none" w:sz="0" w:space="0" w:color="auto"/>
                <w:right w:val="none" w:sz="0" w:space="0" w:color="auto"/>
              </w:divBdr>
            </w:div>
          </w:divsChild>
        </w:div>
        <w:div w:id="1755275422">
          <w:marLeft w:val="0"/>
          <w:marRight w:val="0"/>
          <w:marTop w:val="30"/>
          <w:marBottom w:val="180"/>
          <w:divBdr>
            <w:top w:val="none" w:sz="0" w:space="0" w:color="auto"/>
            <w:left w:val="none" w:sz="0" w:space="0" w:color="auto"/>
            <w:bottom w:val="none" w:sz="0" w:space="0" w:color="auto"/>
            <w:right w:val="none" w:sz="0" w:space="0" w:color="auto"/>
          </w:divBdr>
          <w:divsChild>
            <w:div w:id="1339425704">
              <w:marLeft w:val="0"/>
              <w:marRight w:val="0"/>
              <w:marTop w:val="0"/>
              <w:marBottom w:val="0"/>
              <w:divBdr>
                <w:top w:val="none" w:sz="0" w:space="0" w:color="auto"/>
                <w:left w:val="none" w:sz="0" w:space="0" w:color="auto"/>
                <w:bottom w:val="none" w:sz="0" w:space="0" w:color="auto"/>
                <w:right w:val="none" w:sz="0" w:space="0" w:color="auto"/>
              </w:divBdr>
              <w:divsChild>
                <w:div w:id="1592273495">
                  <w:marLeft w:val="0"/>
                  <w:marRight w:val="0"/>
                  <w:marTop w:val="0"/>
                  <w:marBottom w:val="0"/>
                  <w:divBdr>
                    <w:top w:val="none" w:sz="0" w:space="0" w:color="auto"/>
                    <w:left w:val="none" w:sz="0" w:space="0" w:color="auto"/>
                    <w:bottom w:val="none" w:sz="0" w:space="0" w:color="auto"/>
                    <w:right w:val="none" w:sz="0" w:space="0" w:color="auto"/>
                  </w:divBdr>
                </w:div>
              </w:divsChild>
            </w:div>
            <w:div w:id="56558351">
              <w:marLeft w:val="0"/>
              <w:marRight w:val="0"/>
              <w:marTop w:val="180"/>
              <w:marBottom w:val="0"/>
              <w:divBdr>
                <w:top w:val="none" w:sz="0" w:space="0" w:color="auto"/>
                <w:left w:val="none" w:sz="0" w:space="0" w:color="auto"/>
                <w:bottom w:val="none" w:sz="0" w:space="0" w:color="auto"/>
                <w:right w:val="none" w:sz="0" w:space="0" w:color="auto"/>
              </w:divBdr>
              <w:divsChild>
                <w:div w:id="1443300250">
                  <w:marLeft w:val="0"/>
                  <w:marRight w:val="0"/>
                  <w:marTop w:val="0"/>
                  <w:marBottom w:val="0"/>
                  <w:divBdr>
                    <w:top w:val="none" w:sz="0" w:space="0" w:color="auto"/>
                    <w:left w:val="none" w:sz="0" w:space="0" w:color="auto"/>
                    <w:bottom w:val="none" w:sz="0" w:space="0" w:color="auto"/>
                    <w:right w:val="none" w:sz="0" w:space="0" w:color="auto"/>
                  </w:divBdr>
                </w:div>
                <w:div w:id="7688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4239">
          <w:marLeft w:val="0"/>
          <w:marRight w:val="0"/>
          <w:marTop w:val="0"/>
          <w:marBottom w:val="0"/>
          <w:divBdr>
            <w:top w:val="none" w:sz="0" w:space="0" w:color="auto"/>
            <w:left w:val="none" w:sz="0" w:space="0" w:color="auto"/>
            <w:bottom w:val="none" w:sz="0" w:space="0" w:color="auto"/>
            <w:right w:val="none" w:sz="0" w:space="0" w:color="auto"/>
          </w:divBdr>
          <w:divsChild>
            <w:div w:id="948506133">
              <w:marLeft w:val="0"/>
              <w:marRight w:val="0"/>
              <w:marTop w:val="0"/>
              <w:marBottom w:val="0"/>
              <w:divBdr>
                <w:top w:val="none" w:sz="0" w:space="0" w:color="auto"/>
                <w:left w:val="none" w:sz="0" w:space="0" w:color="auto"/>
                <w:bottom w:val="none" w:sz="0" w:space="0" w:color="auto"/>
                <w:right w:val="none" w:sz="0" w:space="0" w:color="auto"/>
              </w:divBdr>
            </w:div>
          </w:divsChild>
        </w:div>
        <w:div w:id="885682667">
          <w:marLeft w:val="0"/>
          <w:marRight w:val="0"/>
          <w:marTop w:val="30"/>
          <w:marBottom w:val="180"/>
          <w:divBdr>
            <w:top w:val="none" w:sz="0" w:space="0" w:color="auto"/>
            <w:left w:val="none" w:sz="0" w:space="0" w:color="auto"/>
            <w:bottom w:val="none" w:sz="0" w:space="0" w:color="auto"/>
            <w:right w:val="none" w:sz="0" w:space="0" w:color="auto"/>
          </w:divBdr>
          <w:divsChild>
            <w:div w:id="1906601339">
              <w:marLeft w:val="0"/>
              <w:marRight w:val="0"/>
              <w:marTop w:val="0"/>
              <w:marBottom w:val="0"/>
              <w:divBdr>
                <w:top w:val="none" w:sz="0" w:space="0" w:color="auto"/>
                <w:left w:val="none" w:sz="0" w:space="0" w:color="auto"/>
                <w:bottom w:val="none" w:sz="0" w:space="0" w:color="auto"/>
                <w:right w:val="none" w:sz="0" w:space="0" w:color="auto"/>
              </w:divBdr>
              <w:divsChild>
                <w:div w:id="758061784">
                  <w:marLeft w:val="0"/>
                  <w:marRight w:val="0"/>
                  <w:marTop w:val="0"/>
                  <w:marBottom w:val="0"/>
                  <w:divBdr>
                    <w:top w:val="none" w:sz="0" w:space="0" w:color="auto"/>
                    <w:left w:val="none" w:sz="0" w:space="0" w:color="auto"/>
                    <w:bottom w:val="none" w:sz="0" w:space="0" w:color="auto"/>
                    <w:right w:val="none" w:sz="0" w:space="0" w:color="auto"/>
                  </w:divBdr>
                </w:div>
              </w:divsChild>
            </w:div>
            <w:div w:id="204610500">
              <w:marLeft w:val="0"/>
              <w:marRight w:val="0"/>
              <w:marTop w:val="180"/>
              <w:marBottom w:val="0"/>
              <w:divBdr>
                <w:top w:val="none" w:sz="0" w:space="0" w:color="auto"/>
                <w:left w:val="none" w:sz="0" w:space="0" w:color="auto"/>
                <w:bottom w:val="none" w:sz="0" w:space="0" w:color="auto"/>
                <w:right w:val="none" w:sz="0" w:space="0" w:color="auto"/>
              </w:divBdr>
              <w:divsChild>
                <w:div w:id="895047852">
                  <w:marLeft w:val="0"/>
                  <w:marRight w:val="0"/>
                  <w:marTop w:val="0"/>
                  <w:marBottom w:val="0"/>
                  <w:divBdr>
                    <w:top w:val="none" w:sz="0" w:space="0" w:color="auto"/>
                    <w:left w:val="none" w:sz="0" w:space="0" w:color="auto"/>
                    <w:bottom w:val="none" w:sz="0" w:space="0" w:color="auto"/>
                    <w:right w:val="none" w:sz="0" w:space="0" w:color="auto"/>
                  </w:divBdr>
                </w:div>
                <w:div w:id="15167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136932">
          <w:marLeft w:val="0"/>
          <w:marRight w:val="0"/>
          <w:marTop w:val="0"/>
          <w:marBottom w:val="0"/>
          <w:divBdr>
            <w:top w:val="none" w:sz="0" w:space="0" w:color="auto"/>
            <w:left w:val="none" w:sz="0" w:space="0" w:color="auto"/>
            <w:bottom w:val="none" w:sz="0" w:space="0" w:color="auto"/>
            <w:right w:val="none" w:sz="0" w:space="0" w:color="auto"/>
          </w:divBdr>
          <w:divsChild>
            <w:div w:id="1717312303">
              <w:marLeft w:val="0"/>
              <w:marRight w:val="0"/>
              <w:marTop w:val="0"/>
              <w:marBottom w:val="0"/>
              <w:divBdr>
                <w:top w:val="none" w:sz="0" w:space="0" w:color="auto"/>
                <w:left w:val="none" w:sz="0" w:space="0" w:color="auto"/>
                <w:bottom w:val="none" w:sz="0" w:space="0" w:color="auto"/>
                <w:right w:val="none" w:sz="0" w:space="0" w:color="auto"/>
              </w:divBdr>
            </w:div>
          </w:divsChild>
        </w:div>
        <w:div w:id="1411849824">
          <w:marLeft w:val="0"/>
          <w:marRight w:val="0"/>
          <w:marTop w:val="30"/>
          <w:marBottom w:val="180"/>
          <w:divBdr>
            <w:top w:val="none" w:sz="0" w:space="0" w:color="auto"/>
            <w:left w:val="none" w:sz="0" w:space="0" w:color="auto"/>
            <w:bottom w:val="none" w:sz="0" w:space="0" w:color="auto"/>
            <w:right w:val="none" w:sz="0" w:space="0" w:color="auto"/>
          </w:divBdr>
          <w:divsChild>
            <w:div w:id="618924525">
              <w:marLeft w:val="0"/>
              <w:marRight w:val="0"/>
              <w:marTop w:val="0"/>
              <w:marBottom w:val="0"/>
              <w:divBdr>
                <w:top w:val="none" w:sz="0" w:space="0" w:color="auto"/>
                <w:left w:val="none" w:sz="0" w:space="0" w:color="auto"/>
                <w:bottom w:val="none" w:sz="0" w:space="0" w:color="auto"/>
                <w:right w:val="none" w:sz="0" w:space="0" w:color="auto"/>
              </w:divBdr>
              <w:divsChild>
                <w:div w:id="282346685">
                  <w:marLeft w:val="0"/>
                  <w:marRight w:val="0"/>
                  <w:marTop w:val="0"/>
                  <w:marBottom w:val="0"/>
                  <w:divBdr>
                    <w:top w:val="none" w:sz="0" w:space="0" w:color="auto"/>
                    <w:left w:val="none" w:sz="0" w:space="0" w:color="auto"/>
                    <w:bottom w:val="none" w:sz="0" w:space="0" w:color="auto"/>
                    <w:right w:val="none" w:sz="0" w:space="0" w:color="auto"/>
                  </w:divBdr>
                </w:div>
              </w:divsChild>
            </w:div>
            <w:div w:id="808281160">
              <w:marLeft w:val="0"/>
              <w:marRight w:val="0"/>
              <w:marTop w:val="180"/>
              <w:marBottom w:val="0"/>
              <w:divBdr>
                <w:top w:val="none" w:sz="0" w:space="0" w:color="auto"/>
                <w:left w:val="none" w:sz="0" w:space="0" w:color="auto"/>
                <w:bottom w:val="none" w:sz="0" w:space="0" w:color="auto"/>
                <w:right w:val="none" w:sz="0" w:space="0" w:color="auto"/>
              </w:divBdr>
              <w:divsChild>
                <w:div w:id="1593901533">
                  <w:marLeft w:val="0"/>
                  <w:marRight w:val="0"/>
                  <w:marTop w:val="0"/>
                  <w:marBottom w:val="0"/>
                  <w:divBdr>
                    <w:top w:val="none" w:sz="0" w:space="0" w:color="auto"/>
                    <w:left w:val="none" w:sz="0" w:space="0" w:color="auto"/>
                    <w:bottom w:val="none" w:sz="0" w:space="0" w:color="auto"/>
                    <w:right w:val="none" w:sz="0" w:space="0" w:color="auto"/>
                  </w:divBdr>
                </w:div>
                <w:div w:id="19487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20925">
          <w:marLeft w:val="0"/>
          <w:marRight w:val="0"/>
          <w:marTop w:val="150"/>
          <w:marBottom w:val="150"/>
          <w:divBdr>
            <w:top w:val="none" w:sz="0" w:space="0" w:color="auto"/>
            <w:left w:val="none" w:sz="0" w:space="0" w:color="auto"/>
            <w:bottom w:val="none" w:sz="0" w:space="0" w:color="auto"/>
            <w:right w:val="none" w:sz="0" w:space="0" w:color="auto"/>
          </w:divBdr>
        </w:div>
        <w:div w:id="347489717">
          <w:marLeft w:val="0"/>
          <w:marRight w:val="0"/>
          <w:marTop w:val="0"/>
          <w:marBottom w:val="0"/>
          <w:divBdr>
            <w:top w:val="none" w:sz="0" w:space="0" w:color="auto"/>
            <w:left w:val="none" w:sz="0" w:space="0" w:color="auto"/>
            <w:bottom w:val="none" w:sz="0" w:space="0" w:color="auto"/>
            <w:right w:val="none" w:sz="0" w:space="0" w:color="auto"/>
          </w:divBdr>
          <w:divsChild>
            <w:div w:id="891773412">
              <w:marLeft w:val="0"/>
              <w:marRight w:val="0"/>
              <w:marTop w:val="0"/>
              <w:marBottom w:val="0"/>
              <w:divBdr>
                <w:top w:val="none" w:sz="0" w:space="0" w:color="auto"/>
                <w:left w:val="none" w:sz="0" w:space="0" w:color="auto"/>
                <w:bottom w:val="none" w:sz="0" w:space="0" w:color="auto"/>
                <w:right w:val="none" w:sz="0" w:space="0" w:color="auto"/>
              </w:divBdr>
            </w:div>
          </w:divsChild>
        </w:div>
        <w:div w:id="1339652337">
          <w:marLeft w:val="0"/>
          <w:marRight w:val="0"/>
          <w:marTop w:val="0"/>
          <w:marBottom w:val="0"/>
          <w:divBdr>
            <w:top w:val="none" w:sz="0" w:space="0" w:color="auto"/>
            <w:left w:val="none" w:sz="0" w:space="0" w:color="auto"/>
            <w:bottom w:val="none" w:sz="0" w:space="0" w:color="auto"/>
            <w:right w:val="none" w:sz="0" w:space="0" w:color="auto"/>
          </w:divBdr>
          <w:divsChild>
            <w:div w:id="1580793918">
              <w:marLeft w:val="0"/>
              <w:marRight w:val="0"/>
              <w:marTop w:val="0"/>
              <w:marBottom w:val="0"/>
              <w:divBdr>
                <w:top w:val="none" w:sz="0" w:space="0" w:color="auto"/>
                <w:left w:val="none" w:sz="0" w:space="0" w:color="auto"/>
                <w:bottom w:val="none" w:sz="0" w:space="0" w:color="auto"/>
                <w:right w:val="none" w:sz="0" w:space="0" w:color="auto"/>
              </w:divBdr>
            </w:div>
          </w:divsChild>
        </w:div>
        <w:div w:id="1568147907">
          <w:marLeft w:val="0"/>
          <w:marRight w:val="0"/>
          <w:marTop w:val="30"/>
          <w:marBottom w:val="180"/>
          <w:divBdr>
            <w:top w:val="none" w:sz="0" w:space="0" w:color="auto"/>
            <w:left w:val="none" w:sz="0" w:space="0" w:color="auto"/>
            <w:bottom w:val="none" w:sz="0" w:space="0" w:color="auto"/>
            <w:right w:val="none" w:sz="0" w:space="0" w:color="auto"/>
          </w:divBdr>
          <w:divsChild>
            <w:div w:id="1769157097">
              <w:marLeft w:val="0"/>
              <w:marRight w:val="0"/>
              <w:marTop w:val="0"/>
              <w:marBottom w:val="0"/>
              <w:divBdr>
                <w:top w:val="none" w:sz="0" w:space="0" w:color="auto"/>
                <w:left w:val="none" w:sz="0" w:space="0" w:color="auto"/>
                <w:bottom w:val="none" w:sz="0" w:space="0" w:color="auto"/>
                <w:right w:val="none" w:sz="0" w:space="0" w:color="auto"/>
              </w:divBdr>
              <w:divsChild>
                <w:div w:id="19227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61291">
      <w:bodyDiv w:val="1"/>
      <w:marLeft w:val="0"/>
      <w:marRight w:val="0"/>
      <w:marTop w:val="0"/>
      <w:marBottom w:val="0"/>
      <w:divBdr>
        <w:top w:val="none" w:sz="0" w:space="0" w:color="auto"/>
        <w:left w:val="none" w:sz="0" w:space="0" w:color="auto"/>
        <w:bottom w:val="none" w:sz="0" w:space="0" w:color="auto"/>
        <w:right w:val="none" w:sz="0" w:space="0" w:color="auto"/>
      </w:divBdr>
    </w:div>
    <w:div w:id="455220870">
      <w:bodyDiv w:val="1"/>
      <w:marLeft w:val="0"/>
      <w:marRight w:val="0"/>
      <w:marTop w:val="0"/>
      <w:marBottom w:val="0"/>
      <w:divBdr>
        <w:top w:val="none" w:sz="0" w:space="0" w:color="auto"/>
        <w:left w:val="none" w:sz="0" w:space="0" w:color="auto"/>
        <w:bottom w:val="none" w:sz="0" w:space="0" w:color="auto"/>
        <w:right w:val="none" w:sz="0" w:space="0" w:color="auto"/>
      </w:divBdr>
    </w:div>
    <w:div w:id="481308726">
      <w:bodyDiv w:val="1"/>
      <w:marLeft w:val="0"/>
      <w:marRight w:val="0"/>
      <w:marTop w:val="0"/>
      <w:marBottom w:val="0"/>
      <w:divBdr>
        <w:top w:val="none" w:sz="0" w:space="0" w:color="auto"/>
        <w:left w:val="none" w:sz="0" w:space="0" w:color="auto"/>
        <w:bottom w:val="none" w:sz="0" w:space="0" w:color="auto"/>
        <w:right w:val="none" w:sz="0" w:space="0" w:color="auto"/>
      </w:divBdr>
      <w:divsChild>
        <w:div w:id="1295868896">
          <w:marLeft w:val="0"/>
          <w:marRight w:val="0"/>
          <w:marTop w:val="0"/>
          <w:marBottom w:val="0"/>
          <w:divBdr>
            <w:top w:val="none" w:sz="0" w:space="0" w:color="auto"/>
            <w:left w:val="none" w:sz="0" w:space="0" w:color="auto"/>
            <w:bottom w:val="none" w:sz="0" w:space="0" w:color="auto"/>
            <w:right w:val="none" w:sz="0" w:space="0" w:color="auto"/>
          </w:divBdr>
        </w:div>
      </w:divsChild>
    </w:div>
    <w:div w:id="589386897">
      <w:bodyDiv w:val="1"/>
      <w:marLeft w:val="0"/>
      <w:marRight w:val="0"/>
      <w:marTop w:val="0"/>
      <w:marBottom w:val="0"/>
      <w:divBdr>
        <w:top w:val="none" w:sz="0" w:space="0" w:color="auto"/>
        <w:left w:val="none" w:sz="0" w:space="0" w:color="auto"/>
        <w:bottom w:val="none" w:sz="0" w:space="0" w:color="auto"/>
        <w:right w:val="none" w:sz="0" w:space="0" w:color="auto"/>
      </w:divBdr>
    </w:div>
    <w:div w:id="692997344">
      <w:bodyDiv w:val="1"/>
      <w:marLeft w:val="0"/>
      <w:marRight w:val="0"/>
      <w:marTop w:val="0"/>
      <w:marBottom w:val="0"/>
      <w:divBdr>
        <w:top w:val="none" w:sz="0" w:space="0" w:color="auto"/>
        <w:left w:val="none" w:sz="0" w:space="0" w:color="auto"/>
        <w:bottom w:val="none" w:sz="0" w:space="0" w:color="auto"/>
        <w:right w:val="none" w:sz="0" w:space="0" w:color="auto"/>
      </w:divBdr>
      <w:divsChild>
        <w:div w:id="1712269713">
          <w:marLeft w:val="0"/>
          <w:marRight w:val="0"/>
          <w:marTop w:val="0"/>
          <w:marBottom w:val="0"/>
          <w:divBdr>
            <w:top w:val="none" w:sz="0" w:space="0" w:color="auto"/>
            <w:left w:val="none" w:sz="0" w:space="0" w:color="auto"/>
            <w:bottom w:val="none" w:sz="0" w:space="0" w:color="auto"/>
            <w:right w:val="none" w:sz="0" w:space="0" w:color="auto"/>
          </w:divBdr>
        </w:div>
      </w:divsChild>
    </w:div>
    <w:div w:id="733511553">
      <w:bodyDiv w:val="1"/>
      <w:marLeft w:val="0"/>
      <w:marRight w:val="0"/>
      <w:marTop w:val="0"/>
      <w:marBottom w:val="0"/>
      <w:divBdr>
        <w:top w:val="none" w:sz="0" w:space="0" w:color="auto"/>
        <w:left w:val="none" w:sz="0" w:space="0" w:color="auto"/>
        <w:bottom w:val="none" w:sz="0" w:space="0" w:color="auto"/>
        <w:right w:val="none" w:sz="0" w:space="0" w:color="auto"/>
      </w:divBdr>
    </w:div>
    <w:div w:id="772364725">
      <w:bodyDiv w:val="1"/>
      <w:marLeft w:val="0"/>
      <w:marRight w:val="0"/>
      <w:marTop w:val="0"/>
      <w:marBottom w:val="0"/>
      <w:divBdr>
        <w:top w:val="none" w:sz="0" w:space="0" w:color="auto"/>
        <w:left w:val="none" w:sz="0" w:space="0" w:color="auto"/>
        <w:bottom w:val="none" w:sz="0" w:space="0" w:color="auto"/>
        <w:right w:val="none" w:sz="0" w:space="0" w:color="auto"/>
      </w:divBdr>
    </w:div>
    <w:div w:id="942883667">
      <w:bodyDiv w:val="1"/>
      <w:marLeft w:val="0"/>
      <w:marRight w:val="0"/>
      <w:marTop w:val="0"/>
      <w:marBottom w:val="0"/>
      <w:divBdr>
        <w:top w:val="none" w:sz="0" w:space="0" w:color="auto"/>
        <w:left w:val="none" w:sz="0" w:space="0" w:color="auto"/>
        <w:bottom w:val="none" w:sz="0" w:space="0" w:color="auto"/>
        <w:right w:val="none" w:sz="0" w:space="0" w:color="auto"/>
      </w:divBdr>
    </w:div>
    <w:div w:id="975376638">
      <w:bodyDiv w:val="1"/>
      <w:marLeft w:val="0"/>
      <w:marRight w:val="0"/>
      <w:marTop w:val="0"/>
      <w:marBottom w:val="0"/>
      <w:divBdr>
        <w:top w:val="none" w:sz="0" w:space="0" w:color="auto"/>
        <w:left w:val="none" w:sz="0" w:space="0" w:color="auto"/>
        <w:bottom w:val="none" w:sz="0" w:space="0" w:color="auto"/>
        <w:right w:val="none" w:sz="0" w:space="0" w:color="auto"/>
      </w:divBdr>
    </w:div>
    <w:div w:id="1006133185">
      <w:bodyDiv w:val="1"/>
      <w:marLeft w:val="0"/>
      <w:marRight w:val="0"/>
      <w:marTop w:val="0"/>
      <w:marBottom w:val="0"/>
      <w:divBdr>
        <w:top w:val="none" w:sz="0" w:space="0" w:color="auto"/>
        <w:left w:val="none" w:sz="0" w:space="0" w:color="auto"/>
        <w:bottom w:val="none" w:sz="0" w:space="0" w:color="auto"/>
        <w:right w:val="none" w:sz="0" w:space="0" w:color="auto"/>
      </w:divBdr>
    </w:div>
    <w:div w:id="1016423242">
      <w:bodyDiv w:val="1"/>
      <w:marLeft w:val="0"/>
      <w:marRight w:val="0"/>
      <w:marTop w:val="0"/>
      <w:marBottom w:val="0"/>
      <w:divBdr>
        <w:top w:val="none" w:sz="0" w:space="0" w:color="auto"/>
        <w:left w:val="none" w:sz="0" w:space="0" w:color="auto"/>
        <w:bottom w:val="none" w:sz="0" w:space="0" w:color="auto"/>
        <w:right w:val="none" w:sz="0" w:space="0" w:color="auto"/>
      </w:divBdr>
    </w:div>
    <w:div w:id="1127624161">
      <w:bodyDiv w:val="1"/>
      <w:marLeft w:val="0"/>
      <w:marRight w:val="0"/>
      <w:marTop w:val="0"/>
      <w:marBottom w:val="0"/>
      <w:divBdr>
        <w:top w:val="none" w:sz="0" w:space="0" w:color="auto"/>
        <w:left w:val="none" w:sz="0" w:space="0" w:color="auto"/>
        <w:bottom w:val="none" w:sz="0" w:space="0" w:color="auto"/>
        <w:right w:val="none" w:sz="0" w:space="0" w:color="auto"/>
      </w:divBdr>
    </w:div>
    <w:div w:id="1155335975">
      <w:bodyDiv w:val="1"/>
      <w:marLeft w:val="0"/>
      <w:marRight w:val="0"/>
      <w:marTop w:val="0"/>
      <w:marBottom w:val="0"/>
      <w:divBdr>
        <w:top w:val="none" w:sz="0" w:space="0" w:color="auto"/>
        <w:left w:val="none" w:sz="0" w:space="0" w:color="auto"/>
        <w:bottom w:val="none" w:sz="0" w:space="0" w:color="auto"/>
        <w:right w:val="none" w:sz="0" w:space="0" w:color="auto"/>
      </w:divBdr>
      <w:divsChild>
        <w:div w:id="429661454">
          <w:marLeft w:val="0"/>
          <w:marRight w:val="0"/>
          <w:marTop w:val="0"/>
          <w:marBottom w:val="0"/>
          <w:divBdr>
            <w:top w:val="none" w:sz="0" w:space="0" w:color="auto"/>
            <w:left w:val="none" w:sz="0" w:space="0" w:color="auto"/>
            <w:bottom w:val="none" w:sz="0" w:space="0" w:color="auto"/>
            <w:right w:val="none" w:sz="0" w:space="0" w:color="auto"/>
          </w:divBdr>
        </w:div>
      </w:divsChild>
    </w:div>
    <w:div w:id="1365793066">
      <w:bodyDiv w:val="1"/>
      <w:marLeft w:val="0"/>
      <w:marRight w:val="0"/>
      <w:marTop w:val="0"/>
      <w:marBottom w:val="0"/>
      <w:divBdr>
        <w:top w:val="none" w:sz="0" w:space="0" w:color="auto"/>
        <w:left w:val="none" w:sz="0" w:space="0" w:color="auto"/>
        <w:bottom w:val="none" w:sz="0" w:space="0" w:color="auto"/>
        <w:right w:val="none" w:sz="0" w:space="0" w:color="auto"/>
      </w:divBdr>
    </w:div>
    <w:div w:id="1400983865">
      <w:bodyDiv w:val="1"/>
      <w:marLeft w:val="0"/>
      <w:marRight w:val="0"/>
      <w:marTop w:val="0"/>
      <w:marBottom w:val="0"/>
      <w:divBdr>
        <w:top w:val="none" w:sz="0" w:space="0" w:color="auto"/>
        <w:left w:val="none" w:sz="0" w:space="0" w:color="auto"/>
        <w:bottom w:val="none" w:sz="0" w:space="0" w:color="auto"/>
        <w:right w:val="none" w:sz="0" w:space="0" w:color="auto"/>
      </w:divBdr>
      <w:divsChild>
        <w:div w:id="463960838">
          <w:marLeft w:val="0"/>
          <w:marRight w:val="0"/>
          <w:marTop w:val="0"/>
          <w:marBottom w:val="0"/>
          <w:divBdr>
            <w:top w:val="none" w:sz="0" w:space="0" w:color="auto"/>
            <w:left w:val="none" w:sz="0" w:space="0" w:color="auto"/>
            <w:bottom w:val="none" w:sz="0" w:space="0" w:color="auto"/>
            <w:right w:val="none" w:sz="0" w:space="0" w:color="auto"/>
          </w:divBdr>
        </w:div>
      </w:divsChild>
    </w:div>
    <w:div w:id="1424381465">
      <w:bodyDiv w:val="1"/>
      <w:marLeft w:val="0"/>
      <w:marRight w:val="0"/>
      <w:marTop w:val="0"/>
      <w:marBottom w:val="0"/>
      <w:divBdr>
        <w:top w:val="none" w:sz="0" w:space="0" w:color="auto"/>
        <w:left w:val="none" w:sz="0" w:space="0" w:color="auto"/>
        <w:bottom w:val="none" w:sz="0" w:space="0" w:color="auto"/>
        <w:right w:val="none" w:sz="0" w:space="0" w:color="auto"/>
      </w:divBdr>
    </w:div>
    <w:div w:id="1479685177">
      <w:bodyDiv w:val="1"/>
      <w:marLeft w:val="0"/>
      <w:marRight w:val="0"/>
      <w:marTop w:val="0"/>
      <w:marBottom w:val="0"/>
      <w:divBdr>
        <w:top w:val="none" w:sz="0" w:space="0" w:color="auto"/>
        <w:left w:val="none" w:sz="0" w:space="0" w:color="auto"/>
        <w:bottom w:val="none" w:sz="0" w:space="0" w:color="auto"/>
        <w:right w:val="none" w:sz="0" w:space="0" w:color="auto"/>
      </w:divBdr>
    </w:div>
    <w:div w:id="1634214654">
      <w:bodyDiv w:val="1"/>
      <w:marLeft w:val="0"/>
      <w:marRight w:val="0"/>
      <w:marTop w:val="0"/>
      <w:marBottom w:val="0"/>
      <w:divBdr>
        <w:top w:val="none" w:sz="0" w:space="0" w:color="auto"/>
        <w:left w:val="none" w:sz="0" w:space="0" w:color="auto"/>
        <w:bottom w:val="none" w:sz="0" w:space="0" w:color="auto"/>
        <w:right w:val="none" w:sz="0" w:space="0" w:color="auto"/>
      </w:divBdr>
    </w:div>
    <w:div w:id="1702632005">
      <w:bodyDiv w:val="1"/>
      <w:marLeft w:val="0"/>
      <w:marRight w:val="0"/>
      <w:marTop w:val="0"/>
      <w:marBottom w:val="0"/>
      <w:divBdr>
        <w:top w:val="none" w:sz="0" w:space="0" w:color="auto"/>
        <w:left w:val="none" w:sz="0" w:space="0" w:color="auto"/>
        <w:bottom w:val="none" w:sz="0" w:space="0" w:color="auto"/>
        <w:right w:val="none" w:sz="0" w:space="0" w:color="auto"/>
      </w:divBdr>
    </w:div>
    <w:div w:id="1838689713">
      <w:bodyDiv w:val="1"/>
      <w:marLeft w:val="0"/>
      <w:marRight w:val="0"/>
      <w:marTop w:val="0"/>
      <w:marBottom w:val="0"/>
      <w:divBdr>
        <w:top w:val="none" w:sz="0" w:space="0" w:color="auto"/>
        <w:left w:val="none" w:sz="0" w:space="0" w:color="auto"/>
        <w:bottom w:val="none" w:sz="0" w:space="0" w:color="auto"/>
        <w:right w:val="none" w:sz="0" w:space="0" w:color="auto"/>
      </w:divBdr>
      <w:divsChild>
        <w:div w:id="1666664973">
          <w:marLeft w:val="0"/>
          <w:marRight w:val="0"/>
          <w:marTop w:val="0"/>
          <w:marBottom w:val="0"/>
          <w:divBdr>
            <w:top w:val="none" w:sz="0" w:space="0" w:color="auto"/>
            <w:left w:val="none" w:sz="0" w:space="0" w:color="auto"/>
            <w:bottom w:val="none" w:sz="0" w:space="0" w:color="auto"/>
            <w:right w:val="none" w:sz="0" w:space="0" w:color="auto"/>
          </w:divBdr>
        </w:div>
      </w:divsChild>
    </w:div>
    <w:div w:id="1919050583">
      <w:bodyDiv w:val="1"/>
      <w:marLeft w:val="0"/>
      <w:marRight w:val="0"/>
      <w:marTop w:val="0"/>
      <w:marBottom w:val="0"/>
      <w:divBdr>
        <w:top w:val="none" w:sz="0" w:space="0" w:color="auto"/>
        <w:left w:val="none" w:sz="0" w:space="0" w:color="auto"/>
        <w:bottom w:val="none" w:sz="0" w:space="0" w:color="auto"/>
        <w:right w:val="none" w:sz="0" w:space="0" w:color="auto"/>
      </w:divBdr>
    </w:div>
    <w:div w:id="1948735579">
      <w:bodyDiv w:val="1"/>
      <w:marLeft w:val="0"/>
      <w:marRight w:val="0"/>
      <w:marTop w:val="0"/>
      <w:marBottom w:val="0"/>
      <w:divBdr>
        <w:top w:val="none" w:sz="0" w:space="0" w:color="auto"/>
        <w:left w:val="none" w:sz="0" w:space="0" w:color="auto"/>
        <w:bottom w:val="none" w:sz="0" w:space="0" w:color="auto"/>
        <w:right w:val="none" w:sz="0" w:space="0" w:color="auto"/>
      </w:divBdr>
    </w:div>
    <w:div w:id="2135246481">
      <w:bodyDiv w:val="1"/>
      <w:marLeft w:val="0"/>
      <w:marRight w:val="0"/>
      <w:marTop w:val="0"/>
      <w:marBottom w:val="0"/>
      <w:divBdr>
        <w:top w:val="none" w:sz="0" w:space="0" w:color="auto"/>
        <w:left w:val="none" w:sz="0" w:space="0" w:color="auto"/>
        <w:bottom w:val="none" w:sz="0" w:space="0" w:color="auto"/>
        <w:right w:val="none" w:sz="0" w:space="0" w:color="auto"/>
      </w:divBdr>
      <w:divsChild>
        <w:div w:id="130026651">
          <w:marLeft w:val="0"/>
          <w:marRight w:val="0"/>
          <w:marTop w:val="0"/>
          <w:marBottom w:val="0"/>
          <w:divBdr>
            <w:top w:val="none" w:sz="0" w:space="0" w:color="auto"/>
            <w:left w:val="none" w:sz="0" w:space="0" w:color="auto"/>
            <w:bottom w:val="none" w:sz="0" w:space="0" w:color="auto"/>
            <w:right w:val="none" w:sz="0" w:space="0" w:color="auto"/>
          </w:divBdr>
          <w:divsChild>
            <w:div w:id="19132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hyperlink" Target="https://doi.org/10.1016/j.foreco.2021.118947" TargetMode="External"/><Relationship Id="rId26" Type="http://schemas.openxmlformats.org/officeDocument/2006/relationships/hyperlink" Target="https://doi.org/10.4314/ejbs.v21i1.4" TargetMode="External"/><Relationship Id="rId3" Type="http://schemas.microsoft.com/office/2007/relationships/stylesWithEffects" Target="stylesWithEffects.xml"/><Relationship Id="rId21" Type="http://schemas.openxmlformats.org/officeDocument/2006/relationships/hyperlink" Target="https://doi.org/10.1007/s10310-018-0685-z"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1016/j.mbs.2019.01.001" TargetMode="External"/><Relationship Id="rId25" Type="http://schemas.openxmlformats.org/officeDocument/2006/relationships/hyperlink" Target="https://doi.org/10.1006/jema.1998.0256"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155/2019/6190241" TargetMode="External"/><Relationship Id="rId20" Type="http://schemas.openxmlformats.org/officeDocument/2006/relationships/hyperlink" Target="https://doi.org/10.1007/s10531-019-01758-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hyperlink" Target="https://doi.org/10.1016/j.ecolind.2023.109904"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11648/j.jfem.2020.04.02.13" TargetMode="External"/><Relationship Id="rId28" Type="http://schemas.openxmlformats.org/officeDocument/2006/relationships/hyperlink" Target="https://doi.org/10.1111/aje.13045"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4314/ejbc.v33i1.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hyperlink" Target="https://doi.org/10.1007/s42965-021-00138-66" TargetMode="External"/><Relationship Id="rId27" Type="http://schemas.openxmlformats.org/officeDocument/2006/relationships/hyperlink" Target="https://doi.org/10.1007/s11676-022-01494-7" TargetMode="External"/><Relationship Id="rId30" Type="http://schemas.openxmlformats.org/officeDocument/2006/relationships/header" Target="header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HN\AppData\Roaming\Microsoft\Excel\Book1%20(version%201).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OHN\Desktop\Gole%20exceles\diameter%20clas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OHN\Desktop\Gole%20exceles\diameter%20cla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en-US"/>
              <a:t>Species Frequency (%)</a:t>
            </a:r>
          </a:p>
        </c:rich>
      </c:tx>
      <c:layout>
        <c:manualLayout>
          <c:xMode val="edge"/>
          <c:yMode val="edge"/>
          <c:x val="0.33907109083989218"/>
          <c:y val="1.0967876803010253E-3"/>
        </c:manualLayout>
      </c:layout>
      <c:overlay val="0"/>
    </c:title>
    <c:autoTitleDeleted val="0"/>
    <c:plotArea>
      <c:layout/>
      <c:barChart>
        <c:barDir val="col"/>
        <c:grouping val="clustered"/>
        <c:varyColors val="0"/>
        <c:ser>
          <c:idx val="0"/>
          <c:order val="0"/>
          <c:tx>
            <c:strRef>
              <c:f>Sheet1!$J$4:$J$6</c:f>
              <c:strCache>
                <c:ptCount val="1"/>
                <c:pt idx="0">
                  <c:v>Spp Freq uency (%)</c:v>
                </c:pt>
              </c:strCache>
            </c:strRef>
          </c:tx>
          <c:invertIfNegative val="0"/>
          <c:cat>
            <c:strRef>
              <c:f>Sheet1!$E$7:$E$50</c:f>
              <c:strCache>
                <c:ptCount val="44"/>
                <c:pt idx="2">
                  <c:v>Allophylus </c:v>
                </c:pt>
                <c:pt idx="3">
                  <c:v>Bersama Abyssinica </c:v>
                </c:pt>
                <c:pt idx="4">
                  <c:v>Buddleia polysatachya </c:v>
                </c:pt>
                <c:pt idx="5">
                  <c:v>Celtis Africana</c:v>
                </c:pt>
                <c:pt idx="6">
                  <c:v>Croton macrostachyus </c:v>
                </c:pt>
                <c:pt idx="7">
                  <c:v>Combretum molle</c:v>
                </c:pt>
                <c:pt idx="8">
                  <c:v>Donbeya torrida</c:v>
                </c:pt>
                <c:pt idx="9">
                  <c:v>Dracaena steudneri </c:v>
                </c:pt>
                <c:pt idx="10">
                  <c:v>Ekebergia capensis </c:v>
                </c:pt>
                <c:pt idx="11">
                  <c:v>Erythrina brucei </c:v>
                </c:pt>
                <c:pt idx="12">
                  <c:v>Euphorbia abyssinica </c:v>
                </c:pt>
                <c:pt idx="13">
                  <c:v>Ficus sur</c:v>
                </c:pt>
                <c:pt idx="14">
                  <c:v>Ficus vasta </c:v>
                </c:pt>
                <c:pt idx="15">
                  <c:v>Flocourtia indica </c:v>
                </c:pt>
                <c:pt idx="16">
                  <c:v>Flueggea virose</c:v>
                </c:pt>
                <c:pt idx="17">
                  <c:v>Galiniera saxifrage</c:v>
                </c:pt>
                <c:pt idx="18">
                  <c:v>Hagenia Abyssinca </c:v>
                </c:pt>
                <c:pt idx="19">
                  <c:v>Ilex mitis</c:v>
                </c:pt>
                <c:pt idx="20">
                  <c:v>Lobelia sp.</c:v>
                </c:pt>
                <c:pt idx="21">
                  <c:v>Maesa lanceolola</c:v>
                </c:pt>
                <c:pt idx="22">
                  <c:v>Manilkara butugi </c:v>
                </c:pt>
                <c:pt idx="23">
                  <c:v>Maytenus arbutifolia </c:v>
                </c:pt>
                <c:pt idx="24">
                  <c:v>Maytenus gracilipes </c:v>
                </c:pt>
                <c:pt idx="25">
                  <c:v>Millettia ferruginea </c:v>
                </c:pt>
                <c:pt idx="26">
                  <c:v>Ocotea kenyensis </c:v>
                </c:pt>
                <c:pt idx="27">
                  <c:v>Olea capensis </c:v>
                </c:pt>
                <c:pt idx="28">
                  <c:v>Pavetta oliveriana </c:v>
                </c:pt>
                <c:pt idx="29">
                  <c:v>Pittosporumviridiflorum </c:v>
                </c:pt>
                <c:pt idx="30">
                  <c:v>Polycias fulva </c:v>
                </c:pt>
                <c:pt idx="31">
                  <c:v>Prunus Africana</c:v>
                </c:pt>
                <c:pt idx="32">
                  <c:v>Rhamnus prinoides </c:v>
                </c:pt>
                <c:pt idx="33">
                  <c:v>Rhus glutinosa </c:v>
                </c:pt>
                <c:pt idx="34">
                  <c:v>Rhus vulgaris </c:v>
                </c:pt>
                <c:pt idx="35">
                  <c:v>Spathodea campanulata </c:v>
                </c:pt>
                <c:pt idx="36">
                  <c:v>Steganotetaenia araliacea </c:v>
                </c:pt>
                <c:pt idx="37">
                  <c:v>Syzygium Guineense</c:v>
                </c:pt>
                <c:pt idx="38">
                  <c:v>Teclea noblis </c:v>
                </c:pt>
                <c:pt idx="39">
                  <c:v>Triumfetta  heterocarpa </c:v>
                </c:pt>
                <c:pt idx="40">
                  <c:v>Triumfetta pentandra </c:v>
                </c:pt>
                <c:pt idx="41">
                  <c:v>Vernonia Amygdalina</c:v>
                </c:pt>
                <c:pt idx="42">
                  <c:v>Vernonia myriantha </c:v>
                </c:pt>
                <c:pt idx="43">
                  <c:v>Vitex doniana  </c:v>
                </c:pt>
              </c:strCache>
            </c:strRef>
          </c:cat>
          <c:val>
            <c:numRef>
              <c:f>Sheet1!$J$7:$J$50</c:f>
              <c:numCache>
                <c:formatCode>General</c:formatCode>
                <c:ptCount val="44"/>
                <c:pt idx="2">
                  <c:v>14.9</c:v>
                </c:pt>
                <c:pt idx="3">
                  <c:v>34.04</c:v>
                </c:pt>
                <c:pt idx="4">
                  <c:v>29.7</c:v>
                </c:pt>
                <c:pt idx="5">
                  <c:v>19.14</c:v>
                </c:pt>
                <c:pt idx="6">
                  <c:v>42.55</c:v>
                </c:pt>
                <c:pt idx="7">
                  <c:v>10.63</c:v>
                </c:pt>
                <c:pt idx="8">
                  <c:v>6.38</c:v>
                </c:pt>
                <c:pt idx="9">
                  <c:v>8.51</c:v>
                </c:pt>
                <c:pt idx="10">
                  <c:v>6.38</c:v>
                </c:pt>
                <c:pt idx="11">
                  <c:v>12.76</c:v>
                </c:pt>
                <c:pt idx="12">
                  <c:v>2.12</c:v>
                </c:pt>
                <c:pt idx="13">
                  <c:v>10.63</c:v>
                </c:pt>
                <c:pt idx="14">
                  <c:v>8.51</c:v>
                </c:pt>
                <c:pt idx="15">
                  <c:v>25.53</c:v>
                </c:pt>
                <c:pt idx="16">
                  <c:v>6.38</c:v>
                </c:pt>
                <c:pt idx="17">
                  <c:v>6.38</c:v>
                </c:pt>
                <c:pt idx="18">
                  <c:v>8.51</c:v>
                </c:pt>
                <c:pt idx="19">
                  <c:v>63.82</c:v>
                </c:pt>
                <c:pt idx="20">
                  <c:v>6.38</c:v>
                </c:pt>
                <c:pt idx="21">
                  <c:v>2.12</c:v>
                </c:pt>
                <c:pt idx="22">
                  <c:v>10.63</c:v>
                </c:pt>
                <c:pt idx="23">
                  <c:v>12.76</c:v>
                </c:pt>
                <c:pt idx="24">
                  <c:v>17.02</c:v>
                </c:pt>
                <c:pt idx="25">
                  <c:v>10.63</c:v>
                </c:pt>
                <c:pt idx="26">
                  <c:v>42.55</c:v>
                </c:pt>
                <c:pt idx="27">
                  <c:v>61.7</c:v>
                </c:pt>
                <c:pt idx="28">
                  <c:v>4.25</c:v>
                </c:pt>
                <c:pt idx="29">
                  <c:v>10.63</c:v>
                </c:pt>
                <c:pt idx="30">
                  <c:v>12.76</c:v>
                </c:pt>
                <c:pt idx="31">
                  <c:v>8.51</c:v>
                </c:pt>
                <c:pt idx="32">
                  <c:v>6.38</c:v>
                </c:pt>
                <c:pt idx="33">
                  <c:v>12.76</c:v>
                </c:pt>
                <c:pt idx="34">
                  <c:v>21.27</c:v>
                </c:pt>
                <c:pt idx="35">
                  <c:v>31.91</c:v>
                </c:pt>
                <c:pt idx="36">
                  <c:v>4.25</c:v>
                </c:pt>
                <c:pt idx="37">
                  <c:v>76.59</c:v>
                </c:pt>
                <c:pt idx="38">
                  <c:v>23.4</c:v>
                </c:pt>
                <c:pt idx="39">
                  <c:v>23.4</c:v>
                </c:pt>
                <c:pt idx="40">
                  <c:v>14.89</c:v>
                </c:pt>
                <c:pt idx="41">
                  <c:v>4.25</c:v>
                </c:pt>
                <c:pt idx="42">
                  <c:v>14.89</c:v>
                </c:pt>
                <c:pt idx="43">
                  <c:v>8.51</c:v>
                </c:pt>
              </c:numCache>
            </c:numRef>
          </c:val>
          <c:extLst xmlns:c16r2="http://schemas.microsoft.com/office/drawing/2015/06/chart">
            <c:ext xmlns:c16="http://schemas.microsoft.com/office/drawing/2014/chart" uri="{C3380CC4-5D6E-409C-BE32-E72D297353CC}">
              <c16:uniqueId val="{00000000-4A34-49AC-83DD-051F2D543D74}"/>
            </c:ext>
          </c:extLst>
        </c:ser>
        <c:dLbls>
          <c:showLegendKey val="0"/>
          <c:showVal val="0"/>
          <c:showCatName val="0"/>
          <c:showSerName val="0"/>
          <c:showPercent val="0"/>
          <c:showBubbleSize val="0"/>
        </c:dLbls>
        <c:gapWidth val="75"/>
        <c:overlap val="-25"/>
        <c:axId val="219295104"/>
        <c:axId val="219321472"/>
      </c:barChart>
      <c:catAx>
        <c:axId val="219295104"/>
        <c:scaling>
          <c:orientation val="minMax"/>
        </c:scaling>
        <c:delete val="0"/>
        <c:axPos val="b"/>
        <c:numFmt formatCode="General" sourceLinked="0"/>
        <c:majorTickMark val="none"/>
        <c:minorTickMark val="none"/>
        <c:tickLblPos val="nextTo"/>
        <c:crossAx val="219321472"/>
        <c:crosses val="autoZero"/>
        <c:auto val="1"/>
        <c:lblAlgn val="ctr"/>
        <c:lblOffset val="100"/>
        <c:tickLblSkip val="1"/>
        <c:noMultiLvlLbl val="0"/>
      </c:catAx>
      <c:valAx>
        <c:axId val="219321472"/>
        <c:scaling>
          <c:orientation val="minMax"/>
        </c:scaling>
        <c:delete val="0"/>
        <c:axPos val="l"/>
        <c:majorGridlines/>
        <c:numFmt formatCode="General" sourceLinked="1"/>
        <c:majorTickMark val="none"/>
        <c:minorTickMark val="none"/>
        <c:tickLblPos val="nextTo"/>
        <c:crossAx val="219295104"/>
        <c:crossesAt val="1"/>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0671728166680969"/>
          <c:y val="3.2266036793744228E-2"/>
          <c:w val="0.84106842816196092"/>
          <c:h val="0.69450606432703843"/>
        </c:manualLayout>
      </c:layout>
      <c:barChart>
        <c:barDir val="col"/>
        <c:grouping val="clustered"/>
        <c:varyColors val="0"/>
        <c:ser>
          <c:idx val="0"/>
          <c:order val="0"/>
          <c:tx>
            <c:strRef>
              <c:f>Sheet1!$U$8:$U$10</c:f>
              <c:strCache>
                <c:ptCount val="1"/>
                <c:pt idx="0">
                  <c:v>Spp Frequency (%)</c:v>
                </c:pt>
              </c:strCache>
            </c:strRef>
          </c:tx>
          <c:invertIfNegative val="0"/>
          <c:cat>
            <c:strRef>
              <c:f>Sheet1!$T$11:$T$20</c:f>
              <c:strCache>
                <c:ptCount val="10"/>
                <c:pt idx="0">
                  <c:v>Embelia schimperi </c:v>
                </c:pt>
                <c:pt idx="1">
                  <c:v>Geniesporum rotundifoli </c:v>
                </c:pt>
                <c:pt idx="2">
                  <c:v>Dodonaea viscosa </c:v>
                </c:pt>
                <c:pt idx="3">
                  <c:v>Solanum incanum L.</c:v>
                </c:pt>
                <c:pt idx="4">
                  <c:v>Maytenus undata  </c:v>
                </c:pt>
                <c:pt idx="5">
                  <c:v>Wood fordia uniflor </c:v>
                </c:pt>
                <c:pt idx="6">
                  <c:v>Erica arborea </c:v>
                </c:pt>
                <c:pt idx="7">
                  <c:v>Phytolaccadoda </c:v>
                </c:pt>
                <c:pt idx="8">
                  <c:v>Ricinus communis </c:v>
                </c:pt>
                <c:pt idx="9">
                  <c:v>Acanthus sennii </c:v>
                </c:pt>
              </c:strCache>
            </c:strRef>
          </c:cat>
          <c:val>
            <c:numRef>
              <c:f>Sheet1!$U$11:$U$20</c:f>
              <c:numCache>
                <c:formatCode>General</c:formatCode>
                <c:ptCount val="10"/>
                <c:pt idx="0">
                  <c:v>14.89</c:v>
                </c:pt>
                <c:pt idx="1">
                  <c:v>10.63</c:v>
                </c:pt>
                <c:pt idx="2">
                  <c:v>8.51</c:v>
                </c:pt>
                <c:pt idx="3">
                  <c:v>6.38</c:v>
                </c:pt>
                <c:pt idx="4">
                  <c:v>6.38</c:v>
                </c:pt>
                <c:pt idx="5">
                  <c:v>6.38</c:v>
                </c:pt>
                <c:pt idx="6">
                  <c:v>6.38</c:v>
                </c:pt>
                <c:pt idx="7">
                  <c:v>4.25</c:v>
                </c:pt>
                <c:pt idx="8">
                  <c:v>4.25</c:v>
                </c:pt>
                <c:pt idx="9">
                  <c:v>4.25</c:v>
                </c:pt>
              </c:numCache>
            </c:numRef>
          </c:val>
          <c:extLst xmlns:c16r2="http://schemas.microsoft.com/office/drawing/2015/06/chart">
            <c:ext xmlns:c16="http://schemas.microsoft.com/office/drawing/2014/chart" uri="{C3380CC4-5D6E-409C-BE32-E72D297353CC}">
              <c16:uniqueId val="{00000000-0986-4B8F-A700-EAEE16D3732C}"/>
            </c:ext>
          </c:extLst>
        </c:ser>
        <c:dLbls>
          <c:showLegendKey val="0"/>
          <c:showVal val="0"/>
          <c:showCatName val="0"/>
          <c:showSerName val="0"/>
          <c:showPercent val="0"/>
          <c:showBubbleSize val="0"/>
        </c:dLbls>
        <c:gapWidth val="150"/>
        <c:axId val="219329664"/>
        <c:axId val="219331200"/>
      </c:barChart>
      <c:catAx>
        <c:axId val="219329664"/>
        <c:scaling>
          <c:orientation val="minMax"/>
        </c:scaling>
        <c:delete val="0"/>
        <c:axPos val="b"/>
        <c:numFmt formatCode="General" sourceLinked="0"/>
        <c:majorTickMark val="none"/>
        <c:minorTickMark val="none"/>
        <c:tickLblPos val="nextTo"/>
        <c:crossAx val="219331200"/>
        <c:crosses val="autoZero"/>
        <c:auto val="1"/>
        <c:lblAlgn val="ctr"/>
        <c:lblOffset val="100"/>
        <c:noMultiLvlLbl val="0"/>
      </c:catAx>
      <c:valAx>
        <c:axId val="219331200"/>
        <c:scaling>
          <c:orientation val="minMax"/>
        </c:scaling>
        <c:delete val="0"/>
        <c:axPos val="l"/>
        <c:majorGridlines/>
        <c:title>
          <c:tx>
            <c:rich>
              <a:bodyPr/>
              <a:lstStyle/>
              <a:p>
                <a:pPr>
                  <a:defRPr/>
                </a:pPr>
                <a:r>
                  <a:rPr lang="en-US"/>
                  <a:t>species fre %</a:t>
                </a:r>
              </a:p>
            </c:rich>
          </c:tx>
          <c:overlay val="0"/>
        </c:title>
        <c:numFmt formatCode="General" sourceLinked="1"/>
        <c:majorTickMark val="none"/>
        <c:minorTickMark val="none"/>
        <c:tickLblPos val="nextTo"/>
        <c:crossAx val="2193296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Sheet1!$C$2:$C$10</c:f>
              <c:strCache>
                <c:ptCount val="9"/>
                <c:pt idx="0">
                  <c:v>1-˂5cm</c:v>
                </c:pt>
                <c:pt idx="1">
                  <c:v>≥5-20cm</c:v>
                </c:pt>
                <c:pt idx="2">
                  <c:v>≥20-40cm</c:v>
                </c:pt>
                <c:pt idx="3">
                  <c:v>≥40-60cm</c:v>
                </c:pt>
                <c:pt idx="4">
                  <c:v>≥60-80cm</c:v>
                </c:pt>
                <c:pt idx="5">
                  <c:v>≥80-100cm</c:v>
                </c:pt>
                <c:pt idx="6">
                  <c:v>≥100-120cm</c:v>
                </c:pt>
                <c:pt idx="7">
                  <c:v>≥120-140cm</c:v>
                </c:pt>
                <c:pt idx="8">
                  <c:v>≥140cm</c:v>
                </c:pt>
              </c:strCache>
            </c:strRef>
          </c:cat>
          <c:val>
            <c:numRef>
              <c:f>Sheet1!$D$2:$D$10</c:f>
              <c:numCache>
                <c:formatCode>General</c:formatCode>
                <c:ptCount val="9"/>
                <c:pt idx="0">
                  <c:v>470</c:v>
                </c:pt>
                <c:pt idx="1">
                  <c:v>139</c:v>
                </c:pt>
                <c:pt idx="2">
                  <c:v>152</c:v>
                </c:pt>
                <c:pt idx="3">
                  <c:v>136</c:v>
                </c:pt>
                <c:pt idx="4">
                  <c:v>92</c:v>
                </c:pt>
                <c:pt idx="5">
                  <c:v>86</c:v>
                </c:pt>
                <c:pt idx="6">
                  <c:v>57</c:v>
                </c:pt>
                <c:pt idx="7">
                  <c:v>32</c:v>
                </c:pt>
                <c:pt idx="8">
                  <c:v>23</c:v>
                </c:pt>
              </c:numCache>
            </c:numRef>
          </c:val>
          <c:extLst xmlns:c16r2="http://schemas.microsoft.com/office/drawing/2015/06/chart">
            <c:ext xmlns:c16="http://schemas.microsoft.com/office/drawing/2014/chart" uri="{C3380CC4-5D6E-409C-BE32-E72D297353CC}">
              <c16:uniqueId val="{00000000-E3CD-46D3-B330-F87DDADC4721}"/>
            </c:ext>
          </c:extLst>
        </c:ser>
        <c:dLbls>
          <c:showLegendKey val="0"/>
          <c:showVal val="0"/>
          <c:showCatName val="0"/>
          <c:showSerName val="0"/>
          <c:showPercent val="0"/>
          <c:showBubbleSize val="0"/>
        </c:dLbls>
        <c:gapWidth val="100"/>
        <c:axId val="219372544"/>
        <c:axId val="219387008"/>
      </c:barChart>
      <c:catAx>
        <c:axId val="219372544"/>
        <c:scaling>
          <c:orientation val="minMax"/>
        </c:scaling>
        <c:delete val="0"/>
        <c:axPos val="b"/>
        <c:title>
          <c:tx>
            <c:rich>
              <a:bodyPr/>
              <a:lstStyle/>
              <a:p>
                <a:pPr>
                  <a:defRPr/>
                </a:pPr>
                <a:r>
                  <a:rPr lang="en-US" sz="1200" b="0">
                    <a:latin typeface="Times New Roman" pitchFamily="18" charset="0"/>
                    <a:cs typeface="Times New Roman" pitchFamily="18" charset="0"/>
                  </a:rPr>
                  <a:t>DBH Class (in cm)</a:t>
                </a:r>
              </a:p>
            </c:rich>
          </c:tx>
          <c:layout>
            <c:manualLayout>
              <c:xMode val="edge"/>
              <c:yMode val="edge"/>
              <c:x val="0.39691640224076541"/>
              <c:y val="0.89502645502645506"/>
            </c:manualLayout>
          </c:layout>
          <c:overlay val="0"/>
        </c:title>
        <c:numFmt formatCode="General" sourceLinked="0"/>
        <c:majorTickMark val="none"/>
        <c:minorTickMark val="none"/>
        <c:tickLblPos val="nextTo"/>
        <c:crossAx val="219387008"/>
        <c:crosses val="autoZero"/>
        <c:auto val="1"/>
        <c:lblAlgn val="ctr"/>
        <c:lblOffset val="100"/>
        <c:noMultiLvlLbl val="0"/>
      </c:catAx>
      <c:valAx>
        <c:axId val="219387008"/>
        <c:scaling>
          <c:orientation val="minMax"/>
        </c:scaling>
        <c:delete val="0"/>
        <c:axPos val="l"/>
        <c:majorGridlines>
          <c:spPr>
            <a:ln w="6350">
              <a:solidFill>
                <a:schemeClr val="tx1"/>
              </a:solidFill>
            </a:ln>
          </c:spPr>
        </c:majorGridlines>
        <c:minorGridlines>
          <c:spPr>
            <a:ln>
              <a:noFill/>
            </a:ln>
          </c:spPr>
        </c:minorGridlines>
        <c:title>
          <c:tx>
            <c:rich>
              <a:bodyPr/>
              <a:lstStyle/>
              <a:p>
                <a:pPr>
                  <a:defRPr/>
                </a:pPr>
                <a:r>
                  <a:rPr lang="en-US" sz="1200" b="0">
                    <a:latin typeface="Times New Roman" pitchFamily="18" charset="0"/>
                    <a:cs typeface="Times New Roman" pitchFamily="18" charset="0"/>
                  </a:rPr>
                  <a:t>Individual count</a:t>
                </a:r>
              </a:p>
            </c:rich>
          </c:tx>
          <c:layout>
            <c:manualLayout>
              <c:xMode val="edge"/>
              <c:yMode val="edge"/>
              <c:x val="1.5384615384615401E-2"/>
              <c:y val="0.15355966867777893"/>
            </c:manualLayout>
          </c:layout>
          <c:overlay val="0"/>
        </c:title>
        <c:numFmt formatCode="General" sourceLinked="1"/>
        <c:majorTickMark val="out"/>
        <c:minorTickMark val="none"/>
        <c:tickLblPos val="nextTo"/>
        <c:crossAx val="219372544"/>
        <c:crosses val="autoZero"/>
        <c:crossBetween val="between"/>
      </c:valAx>
    </c:plotArea>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
              <c:idx val="0"/>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327-47AE-AFF6-710CC215F204}"/>
                </c:ext>
              </c:extLst>
            </c:dLbl>
            <c:dLbl>
              <c:idx val="1"/>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327-47AE-AFF6-710CC215F204}"/>
                </c:ext>
              </c:extLst>
            </c:dLbl>
            <c:dLbl>
              <c:idx val="2"/>
              <c:tx>
                <c:rich>
                  <a:bodyPr/>
                  <a:lstStyle/>
                  <a:p>
                    <a:r>
                      <a:rPr lang="en-US"/>
                      <a:t>187</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C327-47AE-AFF6-710CC215F204}"/>
                </c:ext>
              </c:extLst>
            </c:dLbl>
            <c:dLbl>
              <c:idx val="3"/>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327-47AE-AFF6-710CC215F204}"/>
                </c:ext>
              </c:extLst>
            </c:dLbl>
            <c:dLbl>
              <c:idx val="4"/>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327-47AE-AFF6-710CC215F204}"/>
                </c:ext>
              </c:extLst>
            </c:dLbl>
            <c:dLbl>
              <c:idx val="5"/>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327-47AE-AFF6-710CC215F204}"/>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Sheet1!$H$2:$H$7</c:f>
              <c:strCache>
                <c:ptCount val="6"/>
                <c:pt idx="0">
                  <c:v>1-˂5cm</c:v>
                </c:pt>
                <c:pt idx="1">
                  <c:v>≥5-15cm</c:v>
                </c:pt>
                <c:pt idx="2">
                  <c:v>≥15-25</c:v>
                </c:pt>
                <c:pt idx="3">
                  <c:v>≥25-35</c:v>
                </c:pt>
                <c:pt idx="4">
                  <c:v>≥35-45</c:v>
                </c:pt>
                <c:pt idx="5">
                  <c:v>≥45</c:v>
                </c:pt>
              </c:strCache>
            </c:strRef>
          </c:cat>
          <c:val>
            <c:numRef>
              <c:f>Sheet1!$I$2:$I$7</c:f>
              <c:numCache>
                <c:formatCode>General</c:formatCode>
                <c:ptCount val="6"/>
                <c:pt idx="0">
                  <c:v>485</c:v>
                </c:pt>
                <c:pt idx="1">
                  <c:v>465</c:v>
                </c:pt>
                <c:pt idx="2">
                  <c:v>187</c:v>
                </c:pt>
                <c:pt idx="3">
                  <c:v>24</c:v>
                </c:pt>
                <c:pt idx="4">
                  <c:v>20</c:v>
                </c:pt>
                <c:pt idx="5">
                  <c:v>6</c:v>
                </c:pt>
              </c:numCache>
            </c:numRef>
          </c:val>
          <c:extLst xmlns:c16r2="http://schemas.microsoft.com/office/drawing/2015/06/chart">
            <c:ext xmlns:c16="http://schemas.microsoft.com/office/drawing/2014/chart" uri="{C3380CC4-5D6E-409C-BE32-E72D297353CC}">
              <c16:uniqueId val="{00000006-C327-47AE-AFF6-710CC215F204}"/>
            </c:ext>
          </c:extLst>
        </c:ser>
        <c:dLbls>
          <c:showLegendKey val="0"/>
          <c:showVal val="0"/>
          <c:showCatName val="0"/>
          <c:showSerName val="0"/>
          <c:showPercent val="0"/>
          <c:showBubbleSize val="0"/>
        </c:dLbls>
        <c:gapWidth val="100"/>
        <c:axId val="266047872"/>
        <c:axId val="266049792"/>
      </c:barChart>
      <c:catAx>
        <c:axId val="266047872"/>
        <c:scaling>
          <c:orientation val="minMax"/>
        </c:scaling>
        <c:delete val="0"/>
        <c:axPos val="b"/>
        <c:title>
          <c:tx>
            <c:rich>
              <a:bodyPr/>
              <a:lstStyle/>
              <a:p>
                <a:pPr>
                  <a:defRPr/>
                </a:pPr>
                <a:r>
                  <a:rPr lang="en-US" sz="1200" b="0">
                    <a:latin typeface="Times New Roman" pitchFamily="18" charset="0"/>
                    <a:cs typeface="Times New Roman" pitchFamily="18" charset="0"/>
                  </a:rPr>
                  <a:t>Height class (in m)</a:t>
                </a:r>
              </a:p>
            </c:rich>
          </c:tx>
          <c:overlay val="0"/>
        </c:title>
        <c:numFmt formatCode="General" sourceLinked="0"/>
        <c:majorTickMark val="none"/>
        <c:minorTickMark val="none"/>
        <c:tickLblPos val="nextTo"/>
        <c:crossAx val="266049792"/>
        <c:crosses val="autoZero"/>
        <c:auto val="1"/>
        <c:lblAlgn val="ctr"/>
        <c:lblOffset val="100"/>
        <c:noMultiLvlLbl val="0"/>
      </c:catAx>
      <c:valAx>
        <c:axId val="266049792"/>
        <c:scaling>
          <c:orientation val="minMax"/>
        </c:scaling>
        <c:delete val="0"/>
        <c:axPos val="l"/>
        <c:majorGridlines>
          <c:spPr>
            <a:ln>
              <a:noFill/>
            </a:ln>
          </c:spPr>
        </c:majorGridlines>
        <c:minorGridlines/>
        <c:title>
          <c:tx>
            <c:rich>
              <a:bodyPr/>
              <a:lstStyle/>
              <a:p>
                <a:pPr>
                  <a:defRPr/>
                </a:pPr>
                <a:r>
                  <a:rPr lang="en-US" sz="1200" b="0">
                    <a:latin typeface="Times New Roman" pitchFamily="18" charset="0"/>
                    <a:cs typeface="Times New Roman" pitchFamily="18" charset="0"/>
                  </a:rPr>
                  <a:t>Individual Count</a:t>
                </a:r>
              </a:p>
            </c:rich>
          </c:tx>
          <c:overlay val="0"/>
        </c:title>
        <c:numFmt formatCode="General" sourceLinked="1"/>
        <c:majorTickMark val="out"/>
        <c:minorTickMark val="none"/>
        <c:tickLblPos val="nextTo"/>
        <c:crossAx val="2660478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719</TotalTime>
  <Pages>24</Pages>
  <Words>6901</Words>
  <Characters>39338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yohannes dikola</dc:creator>
  <cp:lastModifiedBy>Abebe Worku</cp:lastModifiedBy>
  <cp:revision>31</cp:revision>
  <cp:lastPrinted>2024-08-26T08:34:00Z</cp:lastPrinted>
  <dcterms:created xsi:type="dcterms:W3CDTF">2024-08-23T06:31:00Z</dcterms:created>
  <dcterms:modified xsi:type="dcterms:W3CDTF">2024-12-28T13:15:00Z</dcterms:modified>
</cp:coreProperties>
</file>