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CF2F8" w14:textId="089CB495" w:rsidR="00693693" w:rsidRPr="002B5D91" w:rsidRDefault="0096508A" w:rsidP="00976892">
      <w:pPr>
        <w:pStyle w:val="NormalWeb"/>
        <w:jc w:val="center"/>
        <w:rPr>
          <w:rFonts w:ascii="Arial" w:hAnsi="Arial" w:cs="Arial"/>
          <w:b/>
          <w:sz w:val="36"/>
          <w:szCs w:val="36"/>
        </w:rPr>
      </w:pPr>
      <w:r w:rsidRPr="002B5D91">
        <w:rPr>
          <w:rFonts w:ascii="Arial" w:hAnsi="Arial" w:cs="Arial"/>
          <w:b/>
          <w:sz w:val="36"/>
          <w:szCs w:val="36"/>
        </w:rPr>
        <w:t>Brand Image Analysis of Android Smartphones in Nigeria: A Multinomial Regression Approach</w:t>
      </w:r>
    </w:p>
    <w:p w14:paraId="7BC3EF09" w14:textId="77777777" w:rsidR="002B5D91" w:rsidRPr="00CF3B05" w:rsidRDefault="00612496" w:rsidP="002B5D91">
      <w:pPr>
        <w:pStyle w:val="NoSpacing"/>
        <w:spacing w:before="120" w:after="120"/>
        <w:jc w:val="center"/>
        <w:rPr>
          <w:rFonts w:ascii="Times New Roman" w:hAnsi="Times New Roman" w:cs="Times New Roman"/>
          <w:bCs/>
          <w:sz w:val="20"/>
          <w:szCs w:val="20"/>
        </w:rPr>
      </w:pPr>
      <w:r>
        <w:rPr>
          <w:rFonts w:ascii="Arial" w:hAnsi="Arial" w:cs="Arial"/>
          <w:noProof/>
        </w:rPr>
        <mc:AlternateContent>
          <mc:Choice Requires="wps">
            <w:drawing>
              <wp:inline distT="0" distB="0" distL="0" distR="0" wp14:anchorId="22F8BC77" wp14:editId="3B62EC16">
                <wp:extent cx="5913120" cy="45719"/>
                <wp:effectExtent l="0" t="0" r="30480" b="31115"/>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120"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D2C39F4" id="_x0000_t32" coordsize="21600,21600" o:spt="32" o:oned="t" path="m,l21600,21600e" filled="f">
                <v:path arrowok="t" fillok="f" o:connecttype="none"/>
                <o:lock v:ext="edit" shapetype="t"/>
              </v:shapetype>
              <v:shape id="Straight Arrow Connector 1" o:spid="_x0000_s1026" type="#_x0000_t32" style="width:465.6pt;height:3.6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8DKAIAAE8EAAAOAAAAZHJzL2Uyb0RvYy54bWysVMGO2jAQvVfqP1i5QxI27EIErFYJ9LJt&#10;kdh+gLEdYjXxWLYhoKr/3rETaGkvVdUcHDueeX7z5jmL53PbkJMwVoJaRuk4iYhQDLhUh2X05W0z&#10;mkXEOqo4bUCJZXQRNnpevX+36HQuJlBDw4UhCKJs3ullVDun8zi2rBYttWPQQuFmBaalDpfmEHND&#10;O0Rvm3iSJI9xB4ZrA0xYi1/LfjNaBfyqEsx9riorHGmWEXJzYTRh3PsxXi1ofjBU15INNOg/sGip&#10;VHjoDaqkjpKjkX9AtZIZsFC5MYM2hqqSTIQasJo0+a2aXU21CLWgOFbfZLL/D5Z9Om0NkRx7FxFF&#10;W2zRzhkqD7UjL8ZARwpQCmUEQ1KvVqdtjkmF2hpfLzurnX4F9tUSBUVN1UEE1m8XjVAhI75L8Qur&#10;8cx99xE4xtCjgyDduTKth0RRyDl06HLrkDg7wvDjdJ4+pBNsJMO9bPqUzj2nmObXZG2s+yCgJX6y&#10;jOxQy62INBxFT6/W9YnXBH+ygo1smmCJRpEO+c+TaRIyLDSS+10fZ81hXzSGnKh3VXgGGndhBo6K&#10;B7RaUL4e5o7Kpp8j7UZ5PKwO+Qyz3jbf5sl8PVvPslE2eVyPsqQsRy+bIhs9btKnaflQFkWZfvfU&#10;0iyvJedCeXZXC6fZ31lkuEy9+W4mvukQ36MHpZHs9R1Ih/b6jvbe2AO/bI3X1ncaXRuChxvmr8Wv&#10;6xD18z+w+gEAAP//AwBQSwMEFAAGAAgAAAAhADvwOeXZAAAAAwEAAA8AAABkcnMvZG93bnJldi54&#10;bWxMj8FOwzAQRO9I/QdrK3FB1GmQShriVFUlThwIhQ/YxNskIl5HsdOYv8dwgctKoxnNvC0OwQzi&#10;SpPrLSvYbhIQxI3VPbcKPt6f7zMQziNrHCyTgi9ycChXNwXm2i78Rtezb0UsYZejgs77MZfSNR0Z&#10;dBs7EkfvYieDPsqplXrCJZabQaZJspMGe44LHY506qj5PM9GQXjdsQ9VFuqF5xeX3VUBTaXU7Toc&#10;n0B4Cv4vDD/4ER3KyFTbmbUTg4L4iP+90ds/bFMQtYLHFGRZyP/s5TcAAAD//wMAUEsBAi0AFAAG&#10;AAgAAAAhALaDOJL+AAAA4QEAABMAAAAAAAAAAAAAAAAAAAAAAFtDb250ZW50X1R5cGVzXS54bWxQ&#10;SwECLQAUAAYACAAAACEAOP0h/9YAAACUAQAACwAAAAAAAAAAAAAAAAAvAQAAX3JlbHMvLnJlbHNQ&#10;SwECLQAUAAYACAAAACEAJN6/AygCAABPBAAADgAAAAAAAAAAAAAAAAAuAgAAZHJzL2Uyb0RvYy54&#10;bWxQSwECLQAUAAYACAAAACEAO/A55dkAAAADAQAADwAAAAAAAAAAAAAAAACCBAAAZHJzL2Rvd25y&#10;ZXYueG1sUEsFBgAAAAAEAAQA8wAAAIgFAAAAAA==&#10;" strokeweight="1.5pt">
                <w10:anchorlock/>
              </v:shape>
            </w:pict>
          </mc:Fallback>
        </mc:AlternateContent>
      </w:r>
    </w:p>
    <w:p w14:paraId="26B632EB" w14:textId="77777777" w:rsidR="00E24494" w:rsidRPr="00612496" w:rsidRDefault="00612496">
      <w:pPr>
        <w:pStyle w:val="NormalWeb"/>
        <w:jc w:val="both"/>
        <w:rPr>
          <w:rFonts w:ascii="Arial" w:hAnsi="Arial" w:cs="Arial"/>
          <w:b/>
          <w:sz w:val="22"/>
          <w:szCs w:val="22"/>
        </w:rPr>
      </w:pPr>
      <w:r w:rsidRPr="00612496">
        <w:rPr>
          <w:rFonts w:ascii="Arial" w:hAnsi="Arial" w:cs="Arial"/>
          <w:b/>
          <w:sz w:val="22"/>
          <w:szCs w:val="22"/>
        </w:rPr>
        <w:t>ABSTRACT</w:t>
      </w:r>
    </w:p>
    <w:p w14:paraId="36CC2495" w14:textId="77777777" w:rsidR="00E24494" w:rsidRPr="00612496" w:rsidRDefault="00C13035" w:rsidP="0061249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rPr>
      </w:pPr>
      <w:r w:rsidRPr="00612496">
        <w:rPr>
          <w:rFonts w:ascii="Arial" w:hAnsi="Arial" w:cs="Arial"/>
        </w:rPr>
        <w:t xml:space="preserve">Brand image, which encompasses consumers’ perceptions and associations with a brand, is pivotal in shaping how individuals recognize and connect with product or services. </w:t>
      </w:r>
      <w:r w:rsidR="0096508A" w:rsidRPr="00612496">
        <w:rPr>
          <w:rFonts w:ascii="Arial" w:hAnsi="Arial" w:cs="Arial"/>
        </w:rPr>
        <w:t xml:space="preserve">This study explored the brand image of Android smartphones in Nigeria, emphasizing the role of brand perception in shaping customer loyalty and purchasing decisions within a competitive market. By analyzing user responses on attributes like product quality, affordability, and design, the research reveals key dimensions of brand image using factor analysis and multinomial </w:t>
      </w:r>
      <w:bookmarkStart w:id="0" w:name="_GoBack"/>
      <w:bookmarkEnd w:id="0"/>
      <w:r w:rsidR="0096508A" w:rsidRPr="00612496">
        <w:rPr>
          <w:rFonts w:ascii="Arial" w:hAnsi="Arial" w:cs="Arial"/>
        </w:rPr>
        <w:t>regression. An online data collection from android smartphon</w:t>
      </w:r>
      <w:r w:rsidRPr="00612496">
        <w:rPr>
          <w:rFonts w:ascii="Arial" w:hAnsi="Arial" w:cs="Arial"/>
        </w:rPr>
        <w:t>e users in Nigeria on series of</w:t>
      </w:r>
      <w:r w:rsidR="0096508A" w:rsidRPr="00612496">
        <w:rPr>
          <w:rFonts w:ascii="Arial" w:hAnsi="Arial" w:cs="Arial"/>
        </w:rPr>
        <w:t xml:space="preserve"> questions</w:t>
      </w:r>
      <w:r w:rsidRPr="00612496">
        <w:rPr>
          <w:rFonts w:ascii="Arial" w:hAnsi="Arial" w:cs="Arial"/>
        </w:rPr>
        <w:t xml:space="preserve"> related to brand attributes</w:t>
      </w:r>
      <w:r w:rsidR="0096508A" w:rsidRPr="00612496">
        <w:rPr>
          <w:rFonts w:ascii="Arial" w:hAnsi="Arial" w:cs="Arial"/>
        </w:rPr>
        <w:t xml:space="preserve"> were</w:t>
      </w:r>
      <w:r w:rsidRPr="00612496">
        <w:rPr>
          <w:rFonts w:ascii="Arial" w:hAnsi="Arial" w:cs="Arial"/>
        </w:rPr>
        <w:t xml:space="preserve"> considered. The study</w:t>
      </w:r>
      <w:r w:rsidR="0096508A" w:rsidRPr="00612496">
        <w:rPr>
          <w:rFonts w:ascii="Arial" w:hAnsi="Arial" w:cs="Arial"/>
        </w:rPr>
        <w:t xml:space="preserve"> revealed that brand perception significantly influences consumer choices, with Samsung viewed as highly competitive and preferred by older age groups, while </w:t>
      </w:r>
      <w:proofErr w:type="spellStart"/>
      <w:r w:rsidR="0096508A" w:rsidRPr="00612496">
        <w:rPr>
          <w:rFonts w:ascii="Arial" w:hAnsi="Arial" w:cs="Arial"/>
        </w:rPr>
        <w:t>Infinix</w:t>
      </w:r>
      <w:proofErr w:type="spellEnd"/>
      <w:r w:rsidR="0096508A" w:rsidRPr="00612496">
        <w:rPr>
          <w:rFonts w:ascii="Arial" w:hAnsi="Arial" w:cs="Arial"/>
        </w:rPr>
        <w:t xml:space="preserve"> showed varied loyalty among younger users. </w:t>
      </w:r>
      <w:proofErr w:type="spellStart"/>
      <w:r w:rsidR="0096508A" w:rsidRPr="00612496">
        <w:rPr>
          <w:rFonts w:ascii="Arial" w:hAnsi="Arial" w:cs="Arial"/>
        </w:rPr>
        <w:t>Tecno</w:t>
      </w:r>
      <w:proofErr w:type="spellEnd"/>
      <w:r w:rsidR="0096508A" w:rsidRPr="00612496">
        <w:rPr>
          <w:rFonts w:ascii="Arial" w:hAnsi="Arial" w:cs="Arial"/>
        </w:rPr>
        <w:t>, a leading brand, generally has a neutral perception across demographic groups. These findings provide insights for Android brands on tailoring brand strategies to foster positive customer perceptions and strengthen market positioning in emerging economies.</w:t>
      </w:r>
    </w:p>
    <w:p w14:paraId="50A43F58" w14:textId="77777777" w:rsidR="00E24494" w:rsidRPr="009C1567" w:rsidRDefault="00C13035" w:rsidP="009C1567">
      <w:pPr>
        <w:pStyle w:val="NormalWeb"/>
        <w:jc w:val="both"/>
        <w:rPr>
          <w:rFonts w:ascii="Arial" w:hAnsi="Arial" w:cs="Arial"/>
          <w:sz w:val="20"/>
          <w:szCs w:val="20"/>
        </w:rPr>
      </w:pPr>
      <w:r w:rsidRPr="009C1567">
        <w:rPr>
          <w:rFonts w:ascii="Arial" w:hAnsi="Arial" w:cs="Arial"/>
          <w:sz w:val="20"/>
          <w:szCs w:val="20"/>
        </w:rPr>
        <w:t>Keywords: Android smartphones, Brand Identity, Brand Image, Factor analysis, Multinomial regression</w:t>
      </w:r>
    </w:p>
    <w:p w14:paraId="481EFD4B" w14:textId="77777777" w:rsidR="00E24494" w:rsidRPr="009C1567" w:rsidRDefault="009348DB">
      <w:pPr>
        <w:jc w:val="both"/>
        <w:rPr>
          <w:rFonts w:ascii="Arial" w:hAnsi="Arial" w:cs="Arial"/>
        </w:rPr>
      </w:pPr>
      <w:r w:rsidRPr="009C1567">
        <w:rPr>
          <w:rFonts w:ascii="Arial" w:hAnsi="Arial" w:cs="Arial"/>
          <w:b/>
        </w:rPr>
        <w:t>1. INTRODUCTION</w:t>
      </w:r>
      <w:r w:rsidRPr="009C1567">
        <w:rPr>
          <w:rFonts w:ascii="Arial" w:hAnsi="Arial" w:cs="Arial"/>
        </w:rPr>
        <w:t xml:space="preserve"> </w:t>
      </w:r>
    </w:p>
    <w:p w14:paraId="67E7F66B"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Brand image is the perception customer’s form of a brand based on their interactions with it, shaping what comes to mind when they think about its products or business. This perception can be positive, negative, or neutral, influencing how a brand is viewed in a competitive market. A strong, positive brand image helps a product or company stand out, supporting its success amidst market challenges. Beyond visible elements like logos, marks, or symbols, brand image encompasses the deeper, intangible aspects that drive customer interactions and shape their overall perception of a product or service.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{"citationItems":[{"id":"ITEM-1","itemData":{"DOI":"10.14744/nci.2017.85047","ISSN":"21484902","abstract":"Menstruasi adalah perdarahan vagina secara berkala akibat terlepasnya lapisan endometrium uterus. Fungsi menstruasi normal merupakan hasil interaksi antara hipotalamus, hipofisis, dan ovarium dengan perubahan-perubahan terkait pada jaringan sasaran pada saluran reproduksi normal, ovarium memainkan peranan penting dalam proses ini, karena tampaknya bertanggung jawab dalam pengaturan perubahan-perubahan siklus maupun lama siklus menstruasi","author":[{"dropping-particle":"","family":"Durmaz","given":"Busra","non-dropping-particle":"","parse-names":false,"suffix":""}],"container-title":"Northern Clinics of Istanbul","id":"ITEM-1","issue":"3","issued":{"date-parts":[["2017"]]},"page":"216-220","title":"Validity and Reliability of Geriatric Depression Scale - 15 (Short Form) in Turkish older adults","type":"article-journal","volume":"5"},"uris":["http://www.mendeley.com/documents/?uuid=0a842c8f-a17f-4d26-8785-8f1f1e0ef185"]}],"mendeley":{"formattedCitation":"(Durmaz, 2017)","manualFormatting":"Durmaz, (2017)","plainTextFormattedCitation":"(Durmaz, 2017)","previouslyFormattedCitation":"(Durmaz, 2017)"},"properties":{"noteIndex":0},"schema":"https://github.com/citation-style-language/schema/raw/master/csl-citation.json"}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Durmaz, (2017)</w:t>
      </w:r>
      <w:r w:rsidRPr="009348DB">
        <w:rPr>
          <w:rFonts w:ascii="Arial" w:hAnsi="Arial" w:cs="Arial"/>
          <w:sz w:val="20"/>
          <w:szCs w:val="20"/>
        </w:rPr>
        <w:fldChar w:fldCharType="end"/>
      </w:r>
      <w:r w:rsidRPr="009348DB">
        <w:rPr>
          <w:rFonts w:ascii="Arial" w:hAnsi="Arial" w:cs="Arial"/>
          <w:sz w:val="20"/>
          <w:szCs w:val="20"/>
        </w:rPr>
        <w:t xml:space="preserve"> mentioned that to respond to rapid changes in market dynamics and continuously evolving consumer expectations, a deep and up-to-date understanding of research developments related to brand image is needed</w:t>
      </w:r>
    </w:p>
    <w:p w14:paraId="48E54E59" w14:textId="77777777" w:rsidR="00E24494" w:rsidRPr="009348DB" w:rsidRDefault="0096508A">
      <w:pPr>
        <w:jc w:val="both"/>
        <w:rPr>
          <w:rFonts w:ascii="Arial" w:hAnsi="Arial" w:cs="Arial"/>
          <w:sz w:val="20"/>
          <w:szCs w:val="20"/>
        </w:rPr>
      </w:pPr>
      <w:r w:rsidRPr="009348DB">
        <w:rPr>
          <w:rFonts w:ascii="Arial" w:hAnsi="Arial" w:cs="Arial"/>
          <w:sz w:val="20"/>
          <w:szCs w:val="20"/>
        </w:rPr>
        <w:t>In an increasingly competitive marketplace, understanding brand image has become essential for companies aiming to attract and retain customers. Brand image reflects consumers' perceptions, beliefs, and emotional responses associated with a brand, which collectively influence their purchasing decisions and loyalty. Analyzing brand image helps companies to uncover the strengths and weaknesses in how they are perceived by their target audience, providing insights into consumer behavior that are critical for strategic branding, product positioning, and marketing communications.</w:t>
      </w:r>
    </w:p>
    <w:p w14:paraId="1FFB8041"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Brand image, broadly defined as consumers' perceptions and associations with a brand, plays a critical role in influencing how individuals identify and relate to a brand. The concept of Brand Image was popularized by David Aaker (1991) and Kevin Keller (1993) as key components of brand management. Keller (1993) further describes brand image as part of a brand's equity, emphasizing the importance of positive brand associations in establishing a competitive advantage. Positive brand image enhances brand equity, enabling differentiation, stronger customer loyalty, and the ability to charge premium prices.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{"citationItems":[{"id":"ITEM-1","itemData":{"abstract":"Conveying a brand image to a target market is a fundamental marketing activity. The authors present a \nnormative framework, termed brand concept management (BCM), for selecting, implementing, and con\ntrolling a brand image over time. The framework consists of a sequential process of selecting, introduc\ning, elaborating, and fortifying a brand concept. The concept guides positioning strategies, and hence \nthe brand image, at each of these stages. The method for maintaining this concept-image linkage de\npends on whether the brand concept is functional, symbolic, or experiential. Maintaining this linkage \nshould significantly enhance the brand's market performance.","author":[{"dropping-particle":"","family":"C. Whan Park","given":"","non-dropping-particle":"","parse-names":false,"suffix":""},{"dropping-particle":"","family":"Bernard J. Jaworski","given":"","non-dropping-particle":"","parse-names":false,"suffix":""},{"dropping-particle":"","family":"Deborah J. Macinnis","given":"","non-dropping-particle":"","parse-names":false,"suffix":""}],"container-title":"Journal of Marketing ","id":"ITEM-1","issue":"October","issued":{"date-parts":[["1986"]]},"page":"135-145","title":"Strategic brand concept-image management","type":"article-journal","volume":"50"},"uris":["http://www.mendeley.com/documents/?uuid=3a89a090-b741-42cc-966d-62bb3c8e3bae"]}],"mendeley":{"formattedCitation":"(C. Whan Park et al., 1986)","manualFormatting":"C. Whan Park et al., (1986)","plainTextFormattedCitation":"(C. Whan Park et al., 1986)","previouslyFormattedCitation":"(C. Whan Park et al., 1986)"},"properties":{"noteIndex":0},"schema":"https://github.com/citation-style-language/schema/raw/master/csl-citation.json"}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C. Whan Park et al., (1986)</w:t>
      </w:r>
      <w:r w:rsidRPr="009348DB">
        <w:rPr>
          <w:rFonts w:ascii="Arial" w:hAnsi="Arial" w:cs="Arial"/>
          <w:sz w:val="20"/>
          <w:szCs w:val="20"/>
        </w:rPr>
        <w:fldChar w:fldCharType="end"/>
      </w:r>
      <w:r w:rsidRPr="009348DB">
        <w:rPr>
          <w:rFonts w:ascii="Arial" w:hAnsi="Arial" w:cs="Arial"/>
          <w:sz w:val="20"/>
          <w:szCs w:val="20"/>
        </w:rPr>
        <w:t xml:space="preserve"> mentioned that researchers have discussed brand image in various contexts, </w:t>
      </w:r>
      <w:r w:rsidRPr="009348DB">
        <w:rPr>
          <w:rFonts w:ascii="Arial" w:hAnsi="Arial" w:cs="Arial"/>
          <w:sz w:val="20"/>
          <w:szCs w:val="20"/>
        </w:rPr>
        <w:lastRenderedPageBreak/>
        <w:t>noting that it is shaped by both functional aspects, such as quality and reliability, and symbolic aspects, such as social status and emotional connection. Kapferer (2008) developed the Brand Identity Prism, a model that presents six brand facets, including physique, personality, culture, relationship, reflection, and self-image, as components contributing to the brand’s identity and image in consumers’ minds.</w:t>
      </w:r>
    </w:p>
    <w:p w14:paraId="0E7401E0"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In today’s competitive smartphone market, understanding and managing brand image is crucial for manufacturers aiming to capture consumer loyalty and drive market growth. </w:t>
      </w:r>
      <w:proofErr w:type="spellStart"/>
      <w:r w:rsidRPr="009348DB">
        <w:rPr>
          <w:rFonts w:ascii="Arial" w:hAnsi="Arial" w:cs="Arial"/>
          <w:sz w:val="20"/>
          <w:szCs w:val="20"/>
        </w:rPr>
        <w:t>Tecno</w:t>
      </w:r>
      <w:proofErr w:type="spellEnd"/>
      <w:r w:rsidRPr="009348DB">
        <w:rPr>
          <w:rFonts w:ascii="Arial" w:hAnsi="Arial" w:cs="Arial"/>
          <w:sz w:val="20"/>
          <w:szCs w:val="20"/>
        </w:rPr>
        <w:t xml:space="preserve">, a leading smartphone brand in many emerging markets like Nigeria, appeals to consumers with its focus on affordability, functionality, and innovative features tailored to local needs. Given the rapid expansion of the smartphone industry in these regions, it is essential for </w:t>
      </w:r>
      <w:proofErr w:type="spellStart"/>
      <w:r w:rsidRPr="009348DB">
        <w:rPr>
          <w:rFonts w:ascii="Arial" w:hAnsi="Arial" w:cs="Arial"/>
          <w:sz w:val="20"/>
          <w:szCs w:val="20"/>
        </w:rPr>
        <w:t>Tecno</w:t>
      </w:r>
      <w:proofErr w:type="spellEnd"/>
      <w:r w:rsidRPr="009348DB">
        <w:rPr>
          <w:rFonts w:ascii="Arial" w:hAnsi="Arial" w:cs="Arial"/>
          <w:sz w:val="20"/>
          <w:szCs w:val="20"/>
        </w:rPr>
        <w:t xml:space="preserve"> to not only meet the functional demands of consumers but also cultivate a positive brand image that distinguishes it from other budget-friendly smartphone brands.</w:t>
      </w:r>
    </w:p>
    <w:p w14:paraId="1378B410" w14:textId="77777777" w:rsidR="00E24494" w:rsidRPr="009348DB" w:rsidRDefault="0096508A">
      <w:pPr>
        <w:jc w:val="both"/>
        <w:rPr>
          <w:rFonts w:ascii="Arial" w:hAnsi="Arial" w:cs="Arial"/>
          <w:sz w:val="20"/>
          <w:szCs w:val="20"/>
        </w:rPr>
      </w:pPr>
      <w:r w:rsidRPr="009348DB">
        <w:rPr>
          <w:rFonts w:ascii="Arial" w:hAnsi="Arial" w:cs="Arial"/>
          <w:sz w:val="20"/>
          <w:szCs w:val="20"/>
        </w:rPr>
        <w:t>This study aims to conduct a brand image analysis of Android phones in Nigeria, utilizing factor analysis to explore and identify the primary dimensions shaping consumer perceptions of difference android phones. By examining factors such as product quality, design appeal, affordability, and customer satisfaction, this research seeks to uncover how these attributes contribute to android phones brand image and influence consumer purchasing decisions. Factor analysis, a statistical method for reducing data complexity, is particularly useful for this study as it helps identify the key components that drive brand image, enabling a clearer, data-driven understanding of consumer sentiments. Multinomial regression is further considered to gain insight into factors that influences choices among android phone users</w:t>
      </w:r>
    </w:p>
    <w:p w14:paraId="18A07A72" w14:textId="77777777" w:rsidR="00E24494" w:rsidRPr="009348DB" w:rsidRDefault="009348DB">
      <w:pPr>
        <w:jc w:val="both"/>
        <w:rPr>
          <w:rFonts w:ascii="Arial" w:hAnsi="Arial" w:cs="Arial"/>
          <w:b/>
        </w:rPr>
      </w:pPr>
      <w:r w:rsidRPr="009348DB">
        <w:rPr>
          <w:rFonts w:ascii="Arial" w:hAnsi="Arial" w:cs="Arial"/>
          <w:b/>
        </w:rPr>
        <w:t xml:space="preserve">2. LITERATURE REVIEW </w:t>
      </w:r>
    </w:p>
    <w:p w14:paraId="5F861678"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Various methodologies have been employed by researcher to measure brand image. Both qualitative and quantitative methods have been considered in literature. Factor analysis, particularly, has been instrumental in brand image research, allowing researchers to identify core dimensions of brand image by reducing complex variables into key factors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{"citationItems":[{"id":"ITEM-1","itemData":{"ISBN":"1061042111","abstract":"The purpose of the research reported here was to test empirically a conceptualization of brand associations that consists of three dimensions: brand image, brand attitude and perceived quality. A better understanding of brand associations is needed to facilitate further theoretical development and practical measurement of the construct. Three studies were conducted to: test a protocol for developing product category specific measures of brand image; investigate the dimensionality of the brand associations construct; and explore whether the degree of dimensionality of brand associations varies depending upon a brand's familiarity. Findings confirm the efficacy ofthe brand image protocol and indicate that brand associations differ across brands and product categories. The latter finding supports the conclusion that brand associations for different products should be measured using different items. As predicted, dimensionality of brand associations was found to be influenced by brand familiarity","author":[{"dropping-particle":"","family":"Low","given":"George","non-dropping-particle":"","parse-names":false,"suffix":""},{"dropping-particle":"","family":"Charles","given":"W.","non-dropping-particle":"","parse-names":false,"suffix":""},{"dropping-particle":"","family":"Lamb","given":"Jr.","non-dropping-particle":"","parse-names":false,"suffix":""}],"container-title":"Journal of Product &amp; Brand Management","id":"ITEM-1","issue":"6","issued":{"date-parts":[["2010"]]},"number-of-pages":"350-370","title":"The measurement and dimensionality of brand associations The measurement and dimensionality of brand associations","type":"book","volume":"9"},"uris":["http://www.mendeley.com/documents/?uuid=5be0e941-e4df-4ca2-bcbe-466fb86a99d7"]}],"mendeley":{"formattedCitation":"(Low et al., 2010)","plainTextFormattedCitation":"(Low et al., 2010)","previouslyFormattedCitation":"(Low et al., 2010)"},"properties":{"noteIndex":0},"schema":"https://github.com/citation-style-language/schema/raw/master/csl-citation.json"}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(Low et al., 2010)</w:t>
      </w:r>
      <w:r w:rsidRPr="009348DB">
        <w:rPr>
          <w:rFonts w:ascii="Arial" w:hAnsi="Arial" w:cs="Arial"/>
          <w:sz w:val="20"/>
          <w:szCs w:val="20"/>
        </w:rPr>
        <w:fldChar w:fldCharType="end"/>
      </w:r>
      <w:r w:rsidRPr="009348DB">
        <w:rPr>
          <w:rFonts w:ascii="Arial" w:hAnsi="Arial" w:cs="Arial"/>
          <w:sz w:val="20"/>
          <w:szCs w:val="20"/>
        </w:rPr>
        <w:t xml:space="preserve">.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{"citationItems":[{"id":"ITEM-1","itemData":{"DOI":"10.1080/10696679.2001.11501897","ISSN":"1069-6679","abstract":"Brand equity has been criticized by some for an alleged lack of managerial relevance. This paper reports a study which operationalizes brand equity and empirically tests a conceptual model adapted from the work of Aaker (1991) and Keller (1993) considering the effect of brand attitude and brand image on brand equity. The results indicate that brand equity can be manipulated at the independent construct level by providing specific brand associations or signals to consumers and that these associations will result in images and attitudes that influence brand equity. The results suggest that focusing on the constructs that create brand equity is more relevant to managers than trying to measure it as an aggregated financial performance outcome.","author":[{"dropping-particle":"","family":"Faircloth","given":"James B.","non-dropping-particle":"","parse-names":false,"suffix":""},{"dropping-particle":"","family":"Capella","given":"Louis M.","non-dropping-particle":"","parse-names":false,"suffix":""},{"dropping-particle":"","family":"Alford","given":"Bruce L.","non-dropping-particle":"","parse-names":false,"suffix":""}],"container-title":"Journal of Marketing Theory and Practice","id":"ITEM-1","issue":"3","issued":{"date-parts":[["2001"]]},"page":"61-75","title":"The Effect of Brand Attitude and Brand Image on Brand Equity","type":"article-journal","volume":"9"},"uris":["http://www.mendeley.com/documents/?uuid=e728b8ab-7137-4cab-bad6-d76d946b7179"]}],"mendeley":{"formattedCitation":"(Faircloth et al., 2001)","manualFormatting":"Faircloth et al., (2001)","plainTextFormattedCitation":"(Faircloth et al., 2001)","previouslyFormattedCitation":"(Faircloth et al., 2001)"},"properties":{"noteIndex":0},"schema":"https://github.com/citation-style-language/schema/raw/master/csl-citation.json"}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Faircloth et al., (2001)</w:t>
      </w:r>
      <w:r w:rsidRPr="009348DB">
        <w:rPr>
          <w:rFonts w:ascii="Arial" w:hAnsi="Arial" w:cs="Arial"/>
          <w:sz w:val="20"/>
          <w:szCs w:val="20"/>
        </w:rPr>
        <w:fldChar w:fldCharType="end"/>
      </w:r>
      <w:r w:rsidRPr="009348DB">
        <w:rPr>
          <w:rFonts w:ascii="Arial" w:hAnsi="Arial" w:cs="Arial"/>
          <w:sz w:val="20"/>
          <w:szCs w:val="20"/>
        </w:rPr>
        <w:t xml:space="preserve"> noted that a strong, positive brand image influences consumer behavior, including purchase intentions, loyalty, and willingness to pay a premium. Keller (2009) further stated that a favorable brand image enhances brand resonance, the level at which consumers feel a deep, personal connection with a brand.</w:t>
      </w:r>
    </w:p>
    <w:p w14:paraId="3618D622" w14:textId="77777777" w:rsidR="00E24494" w:rsidRPr="009348DB" w:rsidRDefault="0096508A">
      <w:pPr>
        <w:jc w:val="both"/>
        <w:rPr>
          <w:rFonts w:ascii="Arial" w:hAnsi="Arial" w:cs="Arial"/>
          <w:sz w:val="20"/>
          <w:szCs w:val="20"/>
        </w:rPr>
      </w:pP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loyalty","type":"article-journal","volume":"65"},"uris":["http://www.mendeley.com/documents/?uuid=1112177f-3a38-4d0f-902c-6b2fd5da12b2"]}],"mendeley":{"formattedCitation":"(Chaudhuri &amp; Holbrook, 2001)","manualFormatting":"Chaudhuri &amp; Holbrook, (2001)","plainTextFormattedCitation":"(Chaudhuri &amp; Holbrook, 2001)","previouslyFormattedCitation":"(Chaudhuri &amp; Holbrook, 2001)"},"properties":{"noteIndex":0},"schema":"https://github.com/citation-style-language/schema/raw/master/csl-citation.json"}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Chaudhuri &amp; Holbrook, (2001)</w:t>
      </w:r>
      <w:r w:rsidRPr="009348DB">
        <w:rPr>
          <w:rFonts w:ascii="Arial" w:hAnsi="Arial" w:cs="Arial"/>
          <w:sz w:val="20"/>
          <w:szCs w:val="20"/>
        </w:rPr>
        <w:fldChar w:fldCharType="end"/>
      </w:r>
      <w:r w:rsidRPr="009348DB">
        <w:rPr>
          <w:rFonts w:ascii="Arial" w:hAnsi="Arial" w:cs="Arial"/>
          <w:sz w:val="20"/>
          <w:szCs w:val="20"/>
        </w:rPr>
        <w:t xml:space="preserve"> show that brands with favorable images enjoy stronger customer loyalty and repeated purchases, as consumers are more likely to stay committed to brands they perceive positively.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{"citationItems":[{"id":"ITEM-1","itemData":{"DOI":"10.1057/palgrave.jt.5740005","abstract":"Brands are perceived to possess a personality that consumers use as an avenue for self-expression or to experience the emotional benefits by which the brand differentiates itself from others. Despite developments made in this area, the focus has been solely on the role of brand attributes and their utilitarian functions in influencing consumer attitudes. Very little progress has been made to show how brands are used for self-expressive purposes. This review thus discusses how consumers have a part to play in influencing how brand personality is perceived. This is based on the fact that as consumers build trusting relationships with their preferred brand, they will reinforce positive attitudes towards the brand. To build the theoretical framework, issues pertaining to brand personality dimensions, such as self-concept, self-congruity between brands and their consumers and self-expression using brands, will be reviewed. Further, the paper examines the impact of cultural dimensions of individualism and collectivism on self-congruity. This provides a base for examining the fact that the cultural orientation of consumers may have an implication towards the proposed influence of the consumer's self on the personality of the brand. Finally, the review examines the effects of consumer demographic profiles on the consumer's self-congruity with brand personality. The review will generate and develop relevant research propositions. This will be justified by the conceptual and managerial implications that would radiate from the proposed study.","author":[{"dropping-particle":"","family":"Phau","given":"Ian","non-dropping-particle":"","parse-names":false,"suffix":""},{"dropping-particle":"","family":"Lau","given":"Kong Cheen","non-dropping-particle":"","parse-names":false,"suffix":""}],"container-title":"Journal of Targeting, Measurement and Analysis for Marketing","id":"ITEM-1","issue":"1","issued":{"date-parts":[["2000"]]},"page":"52-69","title":"Conceptualising brand personality: A review and research propositions","type":"article-journal","volume":"9"},"uris":["http://www.mendeley.com/documents/?uuid=6b76587e-9a81-48a4-93ee-745ddc48cce1"]}],"mendeley":{"formattedCitation":"(Phau &amp; Lau, 2000)","manualFormatting":"Phau &amp; Lau, (2000)","plainTextFormattedCitation":"(Phau &amp; Lau, 2000)","previouslyFormattedCitation":"(Phau &amp; Lau, 2000)"},"properties":{"noteIndex":0},"schema":"https://github.com/citation-style-language/schema/raw/master/csl-citation.json"}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Phau &amp; Lau, (2000)</w:t>
      </w:r>
      <w:r w:rsidRPr="009348DB">
        <w:rPr>
          <w:rFonts w:ascii="Arial" w:hAnsi="Arial" w:cs="Arial"/>
          <w:sz w:val="20"/>
          <w:szCs w:val="20"/>
        </w:rPr>
        <w:fldChar w:fldCharType="end"/>
      </w:r>
      <w:r w:rsidRPr="009348DB">
        <w:rPr>
          <w:rFonts w:ascii="Arial" w:hAnsi="Arial" w:cs="Arial"/>
          <w:sz w:val="20"/>
          <w:szCs w:val="20"/>
        </w:rPr>
        <w:t xml:space="preserve"> found that in the automotive industry, consumers are often drawn to brands with a strong image of innovation, reliability, and status, such as Tesla and BMW.</w:t>
      </w:r>
    </w:p>
    <w:p w14:paraId="71DB9656" w14:textId="77777777" w:rsidR="00E24494" w:rsidRPr="009348DB" w:rsidRDefault="0096508A">
      <w:pPr>
        <w:jc w:val="both"/>
        <w:rPr>
          <w:rFonts w:ascii="Arial" w:hAnsi="Arial" w:cs="Arial"/>
          <w:sz w:val="20"/>
          <w:szCs w:val="20"/>
        </w:rPr>
      </w:pPr>
      <w:r w:rsidRPr="009348DB">
        <w:rPr>
          <w:rFonts w:ascii="Arial" w:hAnsi="Arial" w:cs="Arial"/>
          <w:sz w:val="20"/>
          <w:szCs w:val="20"/>
        </w:rPr>
        <w:t>Hair et al., (2010) stated that exploratory factor analysis (EFA) allows researchers to explore the structure of brand image dimensions without predetermined factors, making it ideal for preliminary studies where the brand image structure is unknown. Byrne, (2016) further stated that confirmatory factor analysis (CFA) on the other hand, is used to test a hypothesized model of brand image, offering a way to validate predefined brand dimensions.</w:t>
      </w:r>
    </w:p>
    <w:p w14:paraId="10236618" w14:textId="77777777" w:rsidR="00E24494" w:rsidRPr="009348DB" w:rsidRDefault="009348DB">
      <w:pPr>
        <w:jc w:val="both"/>
        <w:rPr>
          <w:rFonts w:ascii="Arial" w:hAnsi="Arial" w:cs="Arial"/>
          <w:b/>
        </w:rPr>
      </w:pPr>
      <w:r w:rsidRPr="009348DB">
        <w:rPr>
          <w:rFonts w:ascii="Arial" w:hAnsi="Arial" w:cs="Arial"/>
          <w:b/>
        </w:rPr>
        <w:t>3. METHODOLOGY</w:t>
      </w:r>
    </w:p>
    <w:p w14:paraId="39105C25" w14:textId="77777777" w:rsidR="00E24494" w:rsidRPr="009348DB" w:rsidRDefault="009348DB">
      <w:pPr>
        <w:spacing w:before="100" w:beforeAutospacing="1" w:after="100" w:afterAutospacing="1" w:line="240" w:lineRule="auto"/>
        <w:jc w:val="both"/>
        <w:outlineLvl w:val="2"/>
        <w:rPr>
          <w:rFonts w:ascii="Arial" w:eastAsia="Times New Roman" w:hAnsi="Arial" w:cs="Arial"/>
          <w:b/>
          <w:bCs/>
        </w:rPr>
      </w:pPr>
      <w:r w:rsidRPr="009348DB">
        <w:rPr>
          <w:rFonts w:ascii="Arial" w:eastAsia="Times New Roman" w:hAnsi="Arial" w:cs="Arial"/>
          <w:b/>
          <w:bCs/>
        </w:rPr>
        <w:t>3.1 DATA COLLECTION</w:t>
      </w:r>
    </w:p>
    <w:p w14:paraId="43ABBE79" w14:textId="77777777" w:rsidR="00E24494" w:rsidRPr="009348DB" w:rsidRDefault="0096508A">
      <w:pPr>
        <w:spacing w:before="100" w:beforeAutospacing="1" w:after="100" w:afterAutospacing="1" w:line="240" w:lineRule="auto"/>
        <w:jc w:val="both"/>
        <w:rPr>
          <w:rFonts w:ascii="Arial" w:eastAsia="Times New Roman" w:hAnsi="Arial" w:cs="Arial"/>
          <w:sz w:val="20"/>
          <w:szCs w:val="20"/>
        </w:rPr>
      </w:pPr>
      <w:r w:rsidRPr="009348DB">
        <w:rPr>
          <w:rFonts w:ascii="Arial" w:eastAsia="Times New Roman" w:hAnsi="Arial" w:cs="Arial"/>
          <w:sz w:val="20"/>
          <w:szCs w:val="20"/>
        </w:rPr>
        <w:t xml:space="preserve">The primary method for collecting data in this study is through an online survey, as it allows for broad reach and convenience for respondents. The survey consist of a series of questions related to the brand's attributes, with responses captured on a Likert scale (e.g., 1 to 5, ranging from Strongly Disagree to Strongly Agree). This scale provides quantifiable data on each attribute, enabling analysis of how strongly respondents associate these characteristics with the brand. </w:t>
      </w:r>
      <w:r w:rsidRPr="009348DB">
        <w:rPr>
          <w:rFonts w:ascii="Arial" w:hAnsi="Arial" w:cs="Arial"/>
          <w:sz w:val="20"/>
          <w:szCs w:val="20"/>
        </w:rPr>
        <w:t>The target sample include current and past users of the brand to ensure relevance and accuracy in perceptions</w:t>
      </w:r>
    </w:p>
    <w:p w14:paraId="2EB7094A" w14:textId="77777777" w:rsidR="00E24494" w:rsidRPr="009348DB" w:rsidRDefault="009348DB">
      <w:pPr>
        <w:jc w:val="both"/>
        <w:rPr>
          <w:rFonts w:ascii="Arial" w:hAnsi="Arial" w:cs="Arial"/>
          <w:b/>
        </w:rPr>
      </w:pPr>
      <w:r w:rsidRPr="009348DB">
        <w:rPr>
          <w:rFonts w:ascii="Arial" w:hAnsi="Arial" w:cs="Arial"/>
          <w:b/>
        </w:rPr>
        <w:lastRenderedPageBreak/>
        <w:t xml:space="preserve">3.2 </w:t>
      </w:r>
      <w:r w:rsidRPr="009348DB">
        <w:rPr>
          <w:rFonts w:ascii="Arial" w:hAnsi="Arial" w:cs="Arial"/>
          <w:b/>
          <w:bCs/>
        </w:rPr>
        <w:t>FACTOR ANALYSIS MODEL</w:t>
      </w:r>
    </w:p>
    <w:p w14:paraId="3EEC33D9"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In a factor analysis model, we assume that each observed variable </w:t>
      </w:r>
      <w:r w:rsidRPr="009348DB">
        <w:rPr>
          <w:rFonts w:ascii="Arial" w:hAnsi="Arial" w:cs="Arial"/>
          <w:i/>
          <w:sz w:val="20"/>
          <w:szCs w:val="20"/>
        </w:rPr>
        <w:t>Xi​</w:t>
      </w:r>
      <w:r w:rsidRPr="009348DB">
        <w:rPr>
          <w:rFonts w:ascii="Arial" w:hAnsi="Arial" w:cs="Arial"/>
          <w:sz w:val="20"/>
          <w:szCs w:val="20"/>
        </w:rPr>
        <w:t xml:space="preserve"> (where </w:t>
      </w:r>
      <w:proofErr w:type="spellStart"/>
      <w:r w:rsidRPr="009348DB">
        <w:rPr>
          <w:rFonts w:ascii="Arial" w:hAnsi="Arial" w:cs="Arial"/>
          <w:sz w:val="20"/>
          <w:szCs w:val="20"/>
        </w:rPr>
        <w:t>i</w:t>
      </w:r>
      <w:proofErr w:type="spellEnd"/>
      <w:r w:rsidRPr="009348DB">
        <w:rPr>
          <w:rFonts w:ascii="Arial" w:hAnsi="Arial" w:cs="Arial"/>
          <w:sz w:val="20"/>
          <w:szCs w:val="20"/>
        </w:rPr>
        <w:t xml:space="preserve">=1, 2, …, p for p observed variables) is influenced by </w:t>
      </w:r>
      <w:r w:rsidRPr="009348DB">
        <w:rPr>
          <w:rFonts w:ascii="Arial" w:hAnsi="Arial" w:cs="Arial"/>
          <w:i/>
          <w:sz w:val="20"/>
          <w:szCs w:val="20"/>
        </w:rPr>
        <w:t>m</w:t>
      </w:r>
      <w:r w:rsidRPr="009348DB">
        <w:rPr>
          <w:rFonts w:ascii="Arial" w:hAnsi="Arial" w:cs="Arial"/>
          <w:sz w:val="20"/>
          <w:szCs w:val="20"/>
        </w:rPr>
        <w:t xml:space="preserve"> underlying, unobserved factors </w:t>
      </w:r>
      <w:r w:rsidRPr="009348DB">
        <w:rPr>
          <w:rFonts w:ascii="Arial" w:hAnsi="Arial" w:cs="Arial"/>
          <w:i/>
          <w:sz w:val="20"/>
          <w:szCs w:val="20"/>
        </w:rPr>
        <w:t>F</w:t>
      </w:r>
      <w:r w:rsidRPr="009348DB">
        <w:rPr>
          <w:rFonts w:ascii="Arial" w:hAnsi="Arial" w:cs="Arial"/>
          <w:i/>
          <w:sz w:val="20"/>
          <w:szCs w:val="20"/>
          <w:vertAlign w:val="subscript"/>
        </w:rPr>
        <w:t>1</w:t>
      </w:r>
      <w:r w:rsidRPr="009348DB">
        <w:rPr>
          <w:rFonts w:ascii="Arial" w:hAnsi="Arial" w:cs="Arial"/>
          <w:i/>
          <w:sz w:val="20"/>
          <w:szCs w:val="20"/>
        </w:rPr>
        <w:t>, F</w:t>
      </w:r>
      <w:r w:rsidRPr="009348DB">
        <w:rPr>
          <w:rFonts w:ascii="Arial" w:hAnsi="Arial" w:cs="Arial"/>
          <w:i/>
          <w:sz w:val="20"/>
          <w:szCs w:val="20"/>
          <w:vertAlign w:val="subscript"/>
        </w:rPr>
        <w:t>2</w:t>
      </w:r>
      <w:r w:rsidRPr="009348DB">
        <w:rPr>
          <w:rFonts w:ascii="Arial" w:hAnsi="Arial" w:cs="Arial"/>
          <w:i/>
          <w:sz w:val="20"/>
          <w:szCs w:val="20"/>
        </w:rPr>
        <w:t>, …, F</w:t>
      </w:r>
      <w:r w:rsidRPr="009348DB">
        <w:rPr>
          <w:rFonts w:ascii="Arial" w:hAnsi="Arial" w:cs="Arial"/>
          <w:i/>
          <w:sz w:val="20"/>
          <w:szCs w:val="20"/>
          <w:vertAlign w:val="subscript"/>
        </w:rPr>
        <w:t>m</w:t>
      </w:r>
      <w:r w:rsidRPr="009348DB">
        <w:rPr>
          <w:rFonts w:ascii="Arial" w:hAnsi="Arial" w:cs="Arial"/>
          <w:sz w:val="20"/>
          <w:szCs w:val="20"/>
        </w:rPr>
        <w:t xml:space="preserve"> plus an error term. The model can be expressed as:</w:t>
      </w:r>
    </w:p>
    <w:p w14:paraId="068DEF1E" w14:textId="77777777" w:rsidR="00E24494" w:rsidRPr="009348DB" w:rsidRDefault="00A41962">
      <w:pPr>
        <w:ind w:firstLine="72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i1</m:t>
            </m:r>
          </m:sub>
        </m:sSub>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1</m:t>
            </m:r>
          </m:sub>
        </m:sSub>
        <m:r>
          <w:rPr>
            <w:rFonts w:ascii="Cambria Math" w:hAnsi="Cambria Math" w:cs="Arial"/>
            <w:sz w:val="20"/>
            <w:szCs w:val="20"/>
          </w:rPr>
          <m:t>+</m:t>
        </m:r>
        <m:r>
          <w:rPr>
            <w:rFonts w:ascii="Cambria Math" w:eastAsiaTheme="minorEastAsia"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i2</m:t>
            </m:r>
          </m:sub>
        </m:sSub>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im</m:t>
            </m:r>
          </m:sub>
        </m:sSub>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m</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ϵ</m:t>
            </m:r>
          </m:e>
          <m:sub>
            <m:r>
              <w:rPr>
                <w:rFonts w:ascii="Cambria Math" w:hAnsi="Cambria Math" w:cs="Arial"/>
                <w:sz w:val="20"/>
                <w:szCs w:val="20"/>
              </w:rPr>
              <m:t>t</m:t>
            </m:r>
          </m:sub>
        </m:sSub>
      </m:oMath>
      <w:r w:rsidR="0096508A" w:rsidRPr="009348DB">
        <w:rPr>
          <w:rFonts w:ascii="Arial" w:eastAsiaTheme="minorEastAsia" w:hAnsi="Arial" w:cs="Arial"/>
          <w:sz w:val="20"/>
          <w:szCs w:val="20"/>
        </w:rPr>
        <w:t xml:space="preserve"> </w:t>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t>(1)</w:t>
      </w:r>
    </w:p>
    <w:p w14:paraId="0E1AF8DD" w14:textId="77777777" w:rsidR="00E24494" w:rsidRPr="009348DB" w:rsidRDefault="0096508A">
      <w:pPr>
        <w:jc w:val="both"/>
        <w:rPr>
          <w:rFonts w:ascii="Arial" w:hAnsi="Arial" w:cs="Arial"/>
          <w:sz w:val="20"/>
          <w:szCs w:val="20"/>
        </w:rPr>
      </w:pPr>
      <w:r w:rsidRPr="009348DB">
        <w:rPr>
          <w:rFonts w:ascii="Arial" w:hAnsi="Arial" w:cs="Arial"/>
          <w:sz w:val="20"/>
          <w:szCs w:val="20"/>
        </w:rPr>
        <w:t>where:</w:t>
      </w:r>
    </w:p>
    <w:p w14:paraId="3BC9FB25" w14:textId="77777777" w:rsidR="00E24494" w:rsidRPr="009348DB" w:rsidRDefault="00A41962">
      <w:pPr>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ij</m:t>
            </m:r>
          </m:sub>
        </m:sSub>
      </m:oMath>
      <w:r w:rsidR="0096508A" w:rsidRPr="009348DB">
        <w:rPr>
          <w:rFonts w:ascii="Arial" w:eastAsiaTheme="minorEastAsia" w:hAnsi="Arial" w:cs="Arial"/>
          <w:sz w:val="20"/>
          <w:szCs w:val="20"/>
        </w:rPr>
        <w:t xml:space="preserve"> </w:t>
      </w:r>
      <w:r w:rsidR="0096508A" w:rsidRPr="009348DB">
        <w:rPr>
          <w:rFonts w:ascii="Arial" w:hAnsi="Arial" w:cs="Arial"/>
          <w:sz w:val="20"/>
          <w:szCs w:val="20"/>
        </w:rPr>
        <w:t xml:space="preserve">are the </w:t>
      </w:r>
      <w:r w:rsidR="0096508A" w:rsidRPr="009348DB">
        <w:rPr>
          <w:rFonts w:ascii="Arial" w:hAnsi="Arial" w:cs="Arial"/>
          <w:bCs/>
          <w:sz w:val="20"/>
          <w:szCs w:val="20"/>
        </w:rPr>
        <w:t>factor loadings</w:t>
      </w:r>
      <w:r w:rsidR="0096508A" w:rsidRPr="009348DB">
        <w:rPr>
          <w:rFonts w:ascii="Arial" w:hAnsi="Arial" w:cs="Arial"/>
          <w:sz w:val="20"/>
          <w:szCs w:val="20"/>
        </w:rPr>
        <w:t xml:space="preserve"> representing the strength of the association between observed variable X</w:t>
      </w:r>
      <w:r w:rsidR="0096508A" w:rsidRPr="009348DB">
        <w:rPr>
          <w:rFonts w:ascii="Arial" w:hAnsi="Arial" w:cs="Arial"/>
          <w:sz w:val="20"/>
          <w:szCs w:val="20"/>
          <w:vertAlign w:val="subscript"/>
        </w:rPr>
        <w:t>i</w:t>
      </w:r>
      <w:r w:rsidR="0096508A" w:rsidRPr="009348DB">
        <w:rPr>
          <w:rFonts w:ascii="Arial" w:hAnsi="Arial" w:cs="Arial"/>
          <w:sz w:val="20"/>
          <w:szCs w:val="20"/>
        </w:rPr>
        <w:t xml:space="preserve"> ​ and factor F</w:t>
      </w:r>
      <w:r w:rsidR="0096508A" w:rsidRPr="009348DB">
        <w:rPr>
          <w:rFonts w:ascii="Arial" w:hAnsi="Arial" w:cs="Arial"/>
          <w:sz w:val="20"/>
          <w:szCs w:val="20"/>
          <w:vertAlign w:val="subscript"/>
        </w:rPr>
        <w:t xml:space="preserve">j. </w:t>
      </w:r>
      <w:r w:rsidR="0096508A" w:rsidRPr="009348DB">
        <w:rPr>
          <w:rFonts w:ascii="Arial" w:hAnsi="Arial" w:cs="Arial"/>
          <w:sz w:val="20"/>
          <w:szCs w:val="20"/>
        </w:rPr>
        <w:t>The F</w:t>
      </w:r>
      <w:r w:rsidR="0096508A" w:rsidRPr="009348DB">
        <w:rPr>
          <w:rFonts w:ascii="Arial" w:hAnsi="Arial" w:cs="Arial"/>
          <w:sz w:val="20"/>
          <w:szCs w:val="20"/>
          <w:vertAlign w:val="subscript"/>
        </w:rPr>
        <w:t>j</w:t>
      </w:r>
      <w:r w:rsidR="0096508A" w:rsidRPr="009348DB">
        <w:rPr>
          <w:rFonts w:ascii="Arial" w:hAnsi="Arial" w:cs="Arial"/>
          <w:sz w:val="20"/>
          <w:szCs w:val="20"/>
        </w:rPr>
        <w:t xml:space="preserve">​ are the </w:t>
      </w:r>
      <w:r w:rsidR="0096508A" w:rsidRPr="009348DB">
        <w:rPr>
          <w:rFonts w:ascii="Arial" w:hAnsi="Arial" w:cs="Arial"/>
          <w:bCs/>
          <w:sz w:val="20"/>
          <w:szCs w:val="20"/>
        </w:rPr>
        <w:t>latent factors</w:t>
      </w:r>
      <w:r w:rsidR="0096508A" w:rsidRPr="009348DB">
        <w:rPr>
          <w:rFonts w:ascii="Arial" w:hAnsi="Arial" w:cs="Arial"/>
          <w:sz w:val="20"/>
          <w:szCs w:val="20"/>
        </w:rPr>
        <w:t xml:space="preserve"> (unobserved variables) common across multiple observed </w:t>
      </w:r>
      <w:proofErr w:type="spellStart"/>
      <w:proofErr w:type="gramStart"/>
      <w:r w:rsidR="0096508A" w:rsidRPr="009348DB">
        <w:rPr>
          <w:rFonts w:ascii="Arial" w:hAnsi="Arial" w:cs="Arial"/>
          <w:sz w:val="20"/>
          <w:szCs w:val="20"/>
        </w:rPr>
        <w:t>variables.The</w:t>
      </w:r>
      <w:proofErr w:type="spellEnd"/>
      <w:proofErr w:type="gramEnd"/>
      <w:r w:rsidR="0096508A" w:rsidRPr="009348DB">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ϵ</m:t>
            </m:r>
          </m:e>
          <m:sub>
            <m:r>
              <w:rPr>
                <w:rFonts w:ascii="Cambria Math" w:hAnsi="Cambria Math" w:cs="Arial"/>
                <w:sz w:val="20"/>
                <w:szCs w:val="20"/>
              </w:rPr>
              <m:t>t</m:t>
            </m:r>
          </m:sub>
        </m:sSub>
      </m:oMath>
      <w:r w:rsidR="0096508A" w:rsidRPr="009348DB">
        <w:rPr>
          <w:rFonts w:ascii="Arial" w:eastAsiaTheme="minorEastAsia" w:hAnsi="Arial" w:cs="Arial"/>
          <w:sz w:val="20"/>
          <w:szCs w:val="20"/>
        </w:rPr>
        <w:t xml:space="preserve"> </w:t>
      </w:r>
      <w:r w:rsidR="0096508A" w:rsidRPr="009348DB">
        <w:rPr>
          <w:rFonts w:ascii="Arial" w:hAnsi="Arial" w:cs="Arial"/>
          <w:sz w:val="20"/>
          <w:szCs w:val="20"/>
        </w:rPr>
        <w:t xml:space="preserve">is the </w:t>
      </w:r>
      <w:r w:rsidR="0096508A" w:rsidRPr="009348DB">
        <w:rPr>
          <w:rFonts w:ascii="Arial" w:hAnsi="Arial" w:cs="Arial"/>
          <w:bCs/>
          <w:sz w:val="20"/>
          <w:szCs w:val="20"/>
        </w:rPr>
        <w:t>unique variance</w:t>
      </w:r>
      <w:r w:rsidR="0096508A" w:rsidRPr="009348DB">
        <w:rPr>
          <w:rFonts w:ascii="Arial" w:hAnsi="Arial" w:cs="Arial"/>
          <w:sz w:val="20"/>
          <w:szCs w:val="20"/>
        </w:rPr>
        <w:t xml:space="preserve"> or </w:t>
      </w:r>
      <w:r w:rsidR="0096508A" w:rsidRPr="009348DB">
        <w:rPr>
          <w:rFonts w:ascii="Arial" w:hAnsi="Arial" w:cs="Arial"/>
          <w:bCs/>
          <w:sz w:val="20"/>
          <w:szCs w:val="20"/>
        </w:rPr>
        <w:t>error term</w:t>
      </w:r>
      <w:r w:rsidR="0096508A" w:rsidRPr="009348DB">
        <w:rPr>
          <w:rFonts w:ascii="Arial" w:hAnsi="Arial" w:cs="Arial"/>
          <w:sz w:val="20"/>
          <w:szCs w:val="20"/>
        </w:rPr>
        <w:t xml:space="preserve"> for </w:t>
      </w:r>
      <w:r w:rsidR="0096508A" w:rsidRPr="009348DB">
        <w:rPr>
          <w:rFonts w:ascii="Arial" w:hAnsi="Arial" w:cs="Arial"/>
          <w:i/>
          <w:sz w:val="20"/>
          <w:szCs w:val="20"/>
        </w:rPr>
        <w:t>X</w:t>
      </w:r>
      <w:r w:rsidR="0096508A" w:rsidRPr="009348DB">
        <w:rPr>
          <w:rFonts w:ascii="Arial" w:hAnsi="Arial" w:cs="Arial"/>
          <w:i/>
          <w:sz w:val="20"/>
          <w:szCs w:val="20"/>
          <w:vertAlign w:val="subscript"/>
        </w:rPr>
        <w:t>i</w:t>
      </w:r>
      <w:r w:rsidR="0096508A" w:rsidRPr="009348DB">
        <w:rPr>
          <w:rFonts w:ascii="Arial" w:hAnsi="Arial" w:cs="Arial"/>
          <w:i/>
          <w:sz w:val="20"/>
          <w:szCs w:val="20"/>
        </w:rPr>
        <w:t>​,</w:t>
      </w:r>
      <w:r w:rsidR="0096508A" w:rsidRPr="009348DB">
        <w:rPr>
          <w:rFonts w:ascii="Arial" w:hAnsi="Arial" w:cs="Arial"/>
          <w:sz w:val="20"/>
          <w:szCs w:val="20"/>
        </w:rPr>
        <w:t xml:space="preserve"> capturing variance not explained by the factors.</w:t>
      </w:r>
    </w:p>
    <w:p w14:paraId="4EB49182" w14:textId="77777777" w:rsidR="00E24494" w:rsidRPr="009348DB" w:rsidRDefault="00E24494">
      <w:pPr>
        <w:jc w:val="both"/>
        <w:rPr>
          <w:rFonts w:ascii="Arial" w:hAnsi="Arial" w:cs="Arial"/>
          <w:strike/>
          <w:sz w:val="20"/>
          <w:szCs w:val="20"/>
        </w:rPr>
      </w:pPr>
    </w:p>
    <w:p w14:paraId="003F049E" w14:textId="77777777" w:rsidR="00E24494" w:rsidRPr="009348DB" w:rsidRDefault="009348DB">
      <w:pPr>
        <w:jc w:val="both"/>
        <w:rPr>
          <w:rFonts w:ascii="Arial" w:hAnsi="Arial" w:cs="Arial"/>
          <w:b/>
          <w:bCs/>
          <w:sz w:val="20"/>
          <w:szCs w:val="20"/>
        </w:rPr>
      </w:pPr>
      <w:r>
        <w:rPr>
          <w:rFonts w:ascii="Arial" w:hAnsi="Arial" w:cs="Arial"/>
          <w:b/>
          <w:bCs/>
          <w:sz w:val="20"/>
          <w:szCs w:val="20"/>
        </w:rPr>
        <w:t>3.2.1</w:t>
      </w:r>
      <w:r w:rsidRPr="009348DB">
        <w:rPr>
          <w:rFonts w:ascii="Arial" w:hAnsi="Arial" w:cs="Arial"/>
          <w:b/>
          <w:bCs/>
          <w:sz w:val="20"/>
          <w:szCs w:val="20"/>
        </w:rPr>
        <w:t xml:space="preserve"> FACTOR EXTRACTION</w:t>
      </w:r>
    </w:p>
    <w:p w14:paraId="0CA0D374"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To determine the factors, several methods can be used, such as </w:t>
      </w:r>
      <w:r w:rsidRPr="009348DB">
        <w:rPr>
          <w:rFonts w:ascii="Arial" w:hAnsi="Arial" w:cs="Arial"/>
          <w:bCs/>
          <w:sz w:val="20"/>
          <w:szCs w:val="20"/>
        </w:rPr>
        <w:t>Principal Component Analysis (PCA)</w:t>
      </w:r>
      <w:r w:rsidRPr="009348DB">
        <w:rPr>
          <w:rFonts w:ascii="Arial" w:hAnsi="Arial" w:cs="Arial"/>
          <w:sz w:val="20"/>
          <w:szCs w:val="20"/>
        </w:rPr>
        <w:t xml:space="preserve">, often used to initially determine the number of factors, although it’s technically not a factor analysis method. It is a statistical technique used to reduce the dimensionality of data by transforming a large set of variables into a smaller set of uncorrelated variables called </w:t>
      </w:r>
      <w:r w:rsidRPr="009348DB">
        <w:rPr>
          <w:rFonts w:ascii="Arial" w:hAnsi="Arial" w:cs="Arial"/>
          <w:bCs/>
          <w:sz w:val="20"/>
          <w:szCs w:val="20"/>
        </w:rPr>
        <w:t>principal components</w:t>
      </w:r>
      <w:r w:rsidRPr="009348DB">
        <w:rPr>
          <w:rFonts w:ascii="Arial" w:hAnsi="Arial" w:cs="Arial"/>
          <w:sz w:val="20"/>
          <w:szCs w:val="20"/>
        </w:rPr>
        <w:t xml:space="preserve">. This is done while retaining as much of the original data's variance as possible. </w:t>
      </w:r>
    </w:p>
    <w:p w14:paraId="10DCC982"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Before performing PCA, it’s common to standardize the data if the variables are on different scales. For an </w:t>
      </w:r>
      <w:r w:rsidRPr="009348DB">
        <w:rPr>
          <w:rFonts w:ascii="Arial" w:hAnsi="Arial" w:cs="Arial"/>
          <w:i/>
          <w:sz w:val="20"/>
          <w:szCs w:val="20"/>
        </w:rPr>
        <w:t>n</w:t>
      </w:r>
      <w:r w:rsidRPr="009348DB">
        <w:rPr>
          <w:rFonts w:ascii="Arial" w:hAnsi="Arial" w:cs="Arial"/>
          <w:sz w:val="20"/>
          <w:szCs w:val="20"/>
        </w:rPr>
        <w:t xml:space="preserve"> × </w:t>
      </w:r>
      <w:r w:rsidRPr="009348DB">
        <w:rPr>
          <w:rFonts w:ascii="Arial" w:hAnsi="Arial" w:cs="Arial"/>
          <w:i/>
          <w:sz w:val="20"/>
          <w:szCs w:val="20"/>
        </w:rPr>
        <w:t>p</w:t>
      </w:r>
      <w:r w:rsidRPr="009348DB">
        <w:rPr>
          <w:rFonts w:ascii="Arial" w:hAnsi="Arial" w:cs="Arial"/>
          <w:sz w:val="20"/>
          <w:szCs w:val="20"/>
        </w:rPr>
        <w:t xml:space="preserve"> data matrix </w:t>
      </w:r>
      <w:r w:rsidRPr="009348DB">
        <w:rPr>
          <w:rFonts w:ascii="Arial" w:hAnsi="Arial" w:cs="Arial"/>
          <w:i/>
          <w:sz w:val="20"/>
          <w:szCs w:val="20"/>
        </w:rPr>
        <w:t>X</w:t>
      </w:r>
      <w:r w:rsidRPr="009348DB">
        <w:rPr>
          <w:rFonts w:ascii="Arial" w:hAnsi="Arial" w:cs="Arial"/>
          <w:sz w:val="20"/>
          <w:szCs w:val="20"/>
        </w:rPr>
        <w:t xml:space="preserve"> with </w:t>
      </w:r>
      <w:r w:rsidRPr="009348DB">
        <w:rPr>
          <w:rFonts w:ascii="Arial" w:hAnsi="Arial" w:cs="Arial"/>
          <w:i/>
          <w:sz w:val="20"/>
          <w:szCs w:val="20"/>
        </w:rPr>
        <w:t>n</w:t>
      </w:r>
      <w:r w:rsidRPr="009348DB">
        <w:rPr>
          <w:rFonts w:ascii="Arial" w:hAnsi="Arial" w:cs="Arial"/>
          <w:sz w:val="20"/>
          <w:szCs w:val="20"/>
        </w:rPr>
        <w:t xml:space="preserve"> observations (rows) and </w:t>
      </w:r>
      <w:r w:rsidRPr="009348DB">
        <w:rPr>
          <w:rFonts w:ascii="Arial" w:hAnsi="Arial" w:cs="Arial"/>
          <w:i/>
          <w:sz w:val="20"/>
          <w:szCs w:val="20"/>
        </w:rPr>
        <w:t>p</w:t>
      </w:r>
      <w:r w:rsidRPr="009348DB">
        <w:rPr>
          <w:rFonts w:ascii="Arial" w:hAnsi="Arial" w:cs="Arial"/>
          <w:sz w:val="20"/>
          <w:szCs w:val="20"/>
        </w:rPr>
        <w:t xml:space="preserve"> variables (columns), the standardized matrix </w:t>
      </w:r>
      <w:r w:rsidRPr="009348DB">
        <w:rPr>
          <w:rFonts w:ascii="Arial" w:hAnsi="Arial" w:cs="Arial"/>
          <w:i/>
          <w:sz w:val="20"/>
          <w:szCs w:val="20"/>
        </w:rPr>
        <w:t>Z</w:t>
      </w:r>
      <w:r w:rsidRPr="009348DB">
        <w:rPr>
          <w:rFonts w:ascii="Arial" w:hAnsi="Arial" w:cs="Arial"/>
          <w:sz w:val="20"/>
          <w:szCs w:val="20"/>
        </w:rPr>
        <w:t xml:space="preserve"> is:</w:t>
      </w:r>
    </w:p>
    <w:p w14:paraId="012B4335" w14:textId="77777777" w:rsidR="00E24494" w:rsidRPr="009348DB" w:rsidRDefault="00A41962">
      <w:pPr>
        <w:ind w:firstLine="72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ij</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ij</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μ</m:t>
                </m:r>
              </m:e>
              <m:sub>
                <m:r>
                  <w:rPr>
                    <w:rFonts w:ascii="Cambria Math" w:hAnsi="Cambria Math" w:cs="Arial"/>
                    <w:sz w:val="20"/>
                    <w:szCs w:val="20"/>
                  </w:rPr>
                  <m:t>j</m:t>
                </m:r>
              </m:sub>
            </m:sSub>
          </m:num>
          <m:den>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j</m:t>
                </m:r>
              </m:sub>
            </m:sSub>
          </m:den>
        </m:f>
      </m:oMath>
      <w:r w:rsidR="0096508A" w:rsidRPr="009348DB">
        <w:rPr>
          <w:rFonts w:ascii="Arial" w:eastAsiaTheme="minorEastAsia" w:hAnsi="Arial" w:cs="Arial"/>
          <w:sz w:val="20"/>
          <w:szCs w:val="20"/>
        </w:rPr>
        <w:t xml:space="preserve"> </w:t>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t>(4)</w:t>
      </w:r>
      <w:r w:rsidR="0096508A" w:rsidRPr="009348DB">
        <w:rPr>
          <w:rFonts w:ascii="Arial" w:hAnsi="Arial" w:cs="Arial"/>
          <w:sz w:val="20"/>
          <w:szCs w:val="20"/>
        </w:rPr>
        <w:t xml:space="preserve">  </w:t>
      </w:r>
    </w:p>
    <w:p w14:paraId="73BDFB51"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Where </w:t>
      </w:r>
      <m:oMath>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μ</m:t>
            </m:r>
          </m:e>
          <m:sub>
            <m:r>
              <w:rPr>
                <w:rFonts w:ascii="Cambria Math" w:hAnsi="Cambria Math" w:cs="Arial"/>
                <w:sz w:val="20"/>
                <w:szCs w:val="20"/>
              </w:rPr>
              <m:t>j</m:t>
            </m:r>
          </m:sub>
        </m:sSub>
      </m:oMath>
      <w:r w:rsidRPr="009348DB">
        <w:rPr>
          <w:rFonts w:ascii="Arial" w:eastAsiaTheme="minorEastAsia" w:hAnsi="Arial" w:cs="Arial"/>
          <w:sz w:val="20"/>
          <w:szCs w:val="20"/>
        </w:rPr>
        <w:t xml:space="preserve"> </w:t>
      </w:r>
      <w:r w:rsidRPr="009348DB">
        <w:rPr>
          <w:rFonts w:ascii="Arial" w:hAnsi="Arial" w:cs="Arial"/>
          <w:sz w:val="20"/>
          <w:szCs w:val="20"/>
        </w:rPr>
        <w:t xml:space="preserve">and </w:t>
      </w:r>
      <m:oMath>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j</m:t>
            </m:r>
          </m:sub>
        </m:sSub>
      </m:oMath>
      <w:r w:rsidRPr="009348DB">
        <w:rPr>
          <w:rFonts w:ascii="Arial" w:hAnsi="Arial" w:cs="Arial"/>
          <w:sz w:val="20"/>
          <w:szCs w:val="20"/>
        </w:rPr>
        <w:t>​ are the mean and standard deviation of variable j, respectively. This ensures that each variable has a mean of 0 and a standard deviation of 1.</w:t>
      </w:r>
    </w:p>
    <w:p w14:paraId="5A5F3751" w14:textId="77777777" w:rsidR="00E24494" w:rsidRPr="009348DB" w:rsidRDefault="009348DB">
      <w:pPr>
        <w:jc w:val="both"/>
        <w:rPr>
          <w:rFonts w:ascii="Arial" w:hAnsi="Arial" w:cs="Arial"/>
          <w:b/>
          <w:bCs/>
          <w:sz w:val="20"/>
          <w:szCs w:val="20"/>
        </w:rPr>
      </w:pPr>
      <w:r>
        <w:rPr>
          <w:rFonts w:ascii="Arial" w:hAnsi="Arial" w:cs="Arial"/>
          <w:b/>
          <w:bCs/>
          <w:sz w:val="20"/>
          <w:szCs w:val="20"/>
        </w:rPr>
        <w:t>3.2.2</w:t>
      </w:r>
      <w:r w:rsidRPr="009348DB">
        <w:rPr>
          <w:rFonts w:ascii="Arial" w:hAnsi="Arial" w:cs="Arial"/>
          <w:b/>
          <w:bCs/>
          <w:sz w:val="20"/>
          <w:szCs w:val="20"/>
        </w:rPr>
        <w:t>. PRINCIPAL COMPONENTS</w:t>
      </w:r>
    </w:p>
    <w:p w14:paraId="11DA06CE" w14:textId="77777777" w:rsidR="00E24494" w:rsidRPr="009348DB" w:rsidRDefault="0096508A">
      <w:pPr>
        <w:jc w:val="both"/>
        <w:rPr>
          <w:rFonts w:ascii="Arial" w:hAnsi="Arial" w:cs="Arial"/>
          <w:sz w:val="20"/>
          <w:szCs w:val="20"/>
        </w:rPr>
      </w:pPr>
      <w:r w:rsidRPr="009348DB">
        <w:rPr>
          <w:rFonts w:ascii="Arial" w:hAnsi="Arial" w:cs="Arial"/>
          <w:sz w:val="20"/>
          <w:szCs w:val="20"/>
        </w:rPr>
        <w:t>The principal components are the projections of the original data onto the eigenvectors of the covariance matrix. To get the k</w:t>
      </w:r>
      <w:r w:rsidRPr="009348DB">
        <w:rPr>
          <w:rFonts w:ascii="Arial" w:hAnsi="Arial" w:cs="Arial"/>
          <w:sz w:val="20"/>
          <w:szCs w:val="20"/>
          <w:vertAlign w:val="superscript"/>
        </w:rPr>
        <w:t>th</w:t>
      </w:r>
      <w:r w:rsidRPr="009348DB">
        <w:rPr>
          <w:rFonts w:ascii="Arial" w:hAnsi="Arial" w:cs="Arial"/>
          <w:sz w:val="20"/>
          <w:szCs w:val="20"/>
        </w:rPr>
        <w:t xml:space="preserve"> principal component </w:t>
      </w:r>
      <w:proofErr w:type="spellStart"/>
      <w:r w:rsidRPr="009348DB">
        <w:rPr>
          <w:rFonts w:ascii="Arial" w:hAnsi="Arial" w:cs="Arial"/>
          <w:i/>
          <w:sz w:val="20"/>
          <w:szCs w:val="20"/>
        </w:rPr>
        <w:t>PC</w:t>
      </w:r>
      <w:r w:rsidRPr="009348DB">
        <w:rPr>
          <w:rFonts w:ascii="Arial" w:hAnsi="Arial" w:cs="Arial"/>
          <w:i/>
          <w:sz w:val="20"/>
          <w:szCs w:val="20"/>
          <w:vertAlign w:val="subscript"/>
        </w:rPr>
        <w:t>k</w:t>
      </w:r>
      <w:proofErr w:type="spellEnd"/>
      <w:r w:rsidRPr="009348DB">
        <w:rPr>
          <w:rFonts w:ascii="Arial" w:hAnsi="Arial" w:cs="Arial"/>
          <w:i/>
          <w:sz w:val="20"/>
          <w:szCs w:val="20"/>
        </w:rPr>
        <w:t>​</w:t>
      </w:r>
      <w:r w:rsidRPr="009348DB">
        <w:rPr>
          <w:rFonts w:ascii="Arial" w:hAnsi="Arial" w:cs="Arial"/>
          <w:sz w:val="20"/>
          <w:szCs w:val="20"/>
        </w:rPr>
        <w:t xml:space="preserve"> for each observation, we multiply the standardized data matrix </w:t>
      </w:r>
      <w:r w:rsidRPr="009348DB">
        <w:rPr>
          <w:rFonts w:ascii="Arial" w:hAnsi="Arial" w:cs="Arial"/>
          <w:i/>
          <w:sz w:val="20"/>
          <w:szCs w:val="20"/>
        </w:rPr>
        <w:t>Z</w:t>
      </w:r>
      <w:r w:rsidRPr="009348DB">
        <w:rPr>
          <w:rFonts w:ascii="Arial" w:hAnsi="Arial" w:cs="Arial"/>
          <w:sz w:val="20"/>
          <w:szCs w:val="20"/>
        </w:rPr>
        <w:t xml:space="preserve"> by the eigenvector </w:t>
      </w:r>
      <w:proofErr w:type="spellStart"/>
      <w:r w:rsidRPr="009348DB">
        <w:rPr>
          <w:rFonts w:ascii="Arial" w:hAnsi="Arial" w:cs="Arial"/>
          <w:i/>
          <w:sz w:val="20"/>
          <w:szCs w:val="20"/>
        </w:rPr>
        <w:t>vk</w:t>
      </w:r>
      <w:proofErr w:type="spellEnd"/>
      <w:r w:rsidRPr="009348DB">
        <w:rPr>
          <w:rFonts w:ascii="Arial" w:hAnsi="Arial" w:cs="Arial"/>
          <w:sz w:val="20"/>
          <w:szCs w:val="20"/>
        </w:rPr>
        <w:t>​ corresponding to the k</w:t>
      </w:r>
      <w:r w:rsidRPr="009348DB">
        <w:rPr>
          <w:rFonts w:ascii="Arial" w:hAnsi="Arial" w:cs="Arial"/>
          <w:sz w:val="20"/>
          <w:szCs w:val="20"/>
          <w:vertAlign w:val="superscript"/>
        </w:rPr>
        <w:t>th</w:t>
      </w:r>
      <w:r w:rsidRPr="009348DB">
        <w:rPr>
          <w:rFonts w:ascii="Arial" w:hAnsi="Arial" w:cs="Arial"/>
          <w:sz w:val="20"/>
          <w:szCs w:val="20"/>
        </w:rPr>
        <w:t xml:space="preserve"> largest eigenvalue:</w:t>
      </w:r>
    </w:p>
    <w:p w14:paraId="7443C148" w14:textId="77777777" w:rsidR="00E24494" w:rsidRPr="009348DB" w:rsidRDefault="0096508A">
      <w:pPr>
        <w:ind w:firstLine="720"/>
        <w:jc w:val="both"/>
        <w:rPr>
          <w:rFonts w:ascii="Arial" w:hAnsi="Arial" w:cs="Arial"/>
          <w:sz w:val="20"/>
          <w:szCs w:val="20"/>
        </w:rPr>
      </w:pPr>
      <w:proofErr w:type="spellStart"/>
      <w:r w:rsidRPr="009348DB">
        <w:rPr>
          <w:rFonts w:ascii="Arial" w:hAnsi="Arial" w:cs="Arial"/>
          <w:i/>
          <w:sz w:val="20"/>
          <w:szCs w:val="20"/>
        </w:rPr>
        <w:t>PC</w:t>
      </w:r>
      <w:r w:rsidRPr="009348DB">
        <w:rPr>
          <w:rFonts w:ascii="Arial" w:hAnsi="Arial" w:cs="Arial"/>
          <w:i/>
          <w:sz w:val="20"/>
          <w:szCs w:val="20"/>
          <w:vertAlign w:val="subscript"/>
        </w:rPr>
        <w:t>k</w:t>
      </w:r>
      <w:proofErr w:type="spellEnd"/>
      <w:r w:rsidRPr="009348DB">
        <w:rPr>
          <w:rFonts w:ascii="Arial" w:hAnsi="Arial" w:cs="Arial"/>
          <w:i/>
          <w:sz w:val="20"/>
          <w:szCs w:val="20"/>
          <w:vertAlign w:val="subscript"/>
        </w:rPr>
        <w:t xml:space="preserve"> </w:t>
      </w:r>
      <w:r w:rsidRPr="009348DB">
        <w:rPr>
          <w:rFonts w:ascii="Arial" w:hAnsi="Arial" w:cs="Arial"/>
          <w:i/>
          <w:sz w:val="20"/>
          <w:szCs w:val="20"/>
        </w:rPr>
        <w:t xml:space="preserve">= </w:t>
      </w:r>
      <w:proofErr w:type="spellStart"/>
      <w:r w:rsidRPr="009348DB">
        <w:rPr>
          <w:rFonts w:ascii="Arial" w:hAnsi="Arial" w:cs="Arial"/>
          <w:i/>
          <w:sz w:val="20"/>
          <w:szCs w:val="20"/>
        </w:rPr>
        <w:t>Zv</w:t>
      </w:r>
      <w:r w:rsidRPr="009348DB">
        <w:rPr>
          <w:rFonts w:ascii="Arial" w:hAnsi="Arial" w:cs="Arial"/>
          <w:i/>
          <w:sz w:val="20"/>
          <w:szCs w:val="20"/>
          <w:vertAlign w:val="subscript"/>
        </w:rPr>
        <w:t>k</w:t>
      </w:r>
      <w:proofErr w:type="spellEnd"/>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005A35DD" w:rsidRPr="009348DB">
        <w:rPr>
          <w:rFonts w:ascii="Arial" w:hAnsi="Arial" w:cs="Arial"/>
          <w:i/>
          <w:sz w:val="20"/>
          <w:szCs w:val="20"/>
          <w:vertAlign w:val="subscript"/>
        </w:rPr>
        <w:tab/>
      </w:r>
      <w:r w:rsidRPr="009348DB">
        <w:rPr>
          <w:rFonts w:ascii="Arial" w:hAnsi="Arial" w:cs="Arial"/>
          <w:sz w:val="20"/>
          <w:szCs w:val="20"/>
        </w:rPr>
        <w:t>(7)</w:t>
      </w:r>
    </w:p>
    <w:p w14:paraId="665AED0D" w14:textId="77777777" w:rsidR="00E24494" w:rsidRPr="009348DB" w:rsidRDefault="0096508A">
      <w:pPr>
        <w:jc w:val="both"/>
        <w:rPr>
          <w:rFonts w:ascii="Arial" w:hAnsi="Arial" w:cs="Arial"/>
          <w:sz w:val="20"/>
          <w:szCs w:val="20"/>
        </w:rPr>
      </w:pPr>
      <w:r w:rsidRPr="009348DB">
        <w:rPr>
          <w:rFonts w:ascii="Arial" w:hAnsi="Arial" w:cs="Arial"/>
          <w:sz w:val="20"/>
          <w:szCs w:val="20"/>
        </w:rPr>
        <w:t>For all principal components, we can write:</w:t>
      </w:r>
    </w:p>
    <w:p w14:paraId="4944FC57" w14:textId="77777777" w:rsidR="00E24494" w:rsidRPr="009348DB" w:rsidRDefault="0096508A">
      <w:pPr>
        <w:ind w:firstLine="720"/>
        <w:jc w:val="both"/>
        <w:rPr>
          <w:rFonts w:ascii="Arial" w:hAnsi="Arial" w:cs="Arial"/>
          <w:sz w:val="20"/>
          <w:szCs w:val="20"/>
        </w:rPr>
      </w:pPr>
      <w:r w:rsidRPr="009348DB">
        <w:rPr>
          <w:rFonts w:ascii="Arial" w:hAnsi="Arial" w:cs="Arial"/>
          <w:i/>
          <w:sz w:val="20"/>
          <w:szCs w:val="20"/>
        </w:rPr>
        <w:t>PC = ZV</w:t>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005A35DD" w:rsidRPr="009348DB">
        <w:rPr>
          <w:rFonts w:ascii="Arial" w:hAnsi="Arial" w:cs="Arial"/>
          <w:i/>
          <w:sz w:val="20"/>
          <w:szCs w:val="20"/>
        </w:rPr>
        <w:tab/>
      </w:r>
      <w:r w:rsidRPr="009348DB">
        <w:rPr>
          <w:rFonts w:ascii="Arial" w:hAnsi="Arial" w:cs="Arial"/>
          <w:sz w:val="20"/>
          <w:szCs w:val="20"/>
        </w:rPr>
        <w:t>(8)</w:t>
      </w:r>
    </w:p>
    <w:p w14:paraId="76916FAB"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where V is the matrix of eigenvectors (each column of V is an eigenvector </w:t>
      </w:r>
      <w:proofErr w:type="spellStart"/>
      <w:r w:rsidRPr="009348DB">
        <w:rPr>
          <w:rFonts w:ascii="Arial" w:hAnsi="Arial" w:cs="Arial"/>
          <w:sz w:val="20"/>
          <w:szCs w:val="20"/>
        </w:rPr>
        <w:t>v</w:t>
      </w:r>
      <w:r w:rsidRPr="009348DB">
        <w:rPr>
          <w:rFonts w:ascii="Arial" w:hAnsi="Arial" w:cs="Arial"/>
          <w:sz w:val="20"/>
          <w:szCs w:val="20"/>
          <w:vertAlign w:val="subscript"/>
        </w:rPr>
        <w:t>k</w:t>
      </w:r>
      <w:proofErr w:type="spellEnd"/>
      <w:r w:rsidRPr="009348DB">
        <w:rPr>
          <w:rFonts w:ascii="Arial" w:hAnsi="Arial" w:cs="Arial"/>
          <w:sz w:val="20"/>
          <w:szCs w:val="20"/>
        </w:rPr>
        <w:t xml:space="preserve"> ​), and </w:t>
      </w:r>
      <w:r w:rsidRPr="009348DB">
        <w:rPr>
          <w:rFonts w:ascii="Arial" w:hAnsi="Arial" w:cs="Arial"/>
          <w:i/>
          <w:sz w:val="20"/>
          <w:szCs w:val="20"/>
        </w:rPr>
        <w:t>PC</w:t>
      </w:r>
      <w:r w:rsidRPr="009348DB">
        <w:rPr>
          <w:rFonts w:ascii="Arial" w:hAnsi="Arial" w:cs="Arial"/>
          <w:sz w:val="20"/>
          <w:szCs w:val="20"/>
        </w:rPr>
        <w:t xml:space="preserve"> is the matrix of principal component scores.</w:t>
      </w:r>
    </w:p>
    <w:p w14:paraId="4475D9B3" w14:textId="77777777" w:rsidR="00E24494" w:rsidRPr="009348DB" w:rsidRDefault="009348DB">
      <w:pPr>
        <w:jc w:val="both"/>
        <w:rPr>
          <w:rFonts w:ascii="Arial" w:hAnsi="Arial" w:cs="Arial"/>
          <w:b/>
          <w:bCs/>
          <w:sz w:val="20"/>
          <w:szCs w:val="20"/>
        </w:rPr>
      </w:pPr>
      <w:r>
        <w:rPr>
          <w:rFonts w:ascii="Arial" w:hAnsi="Arial" w:cs="Arial"/>
          <w:b/>
          <w:bCs/>
          <w:sz w:val="20"/>
          <w:szCs w:val="20"/>
        </w:rPr>
        <w:t>3.2.3</w:t>
      </w:r>
      <w:r w:rsidRPr="009348DB">
        <w:rPr>
          <w:rFonts w:ascii="Arial" w:hAnsi="Arial" w:cs="Arial"/>
          <w:b/>
          <w:bCs/>
          <w:sz w:val="20"/>
          <w:szCs w:val="20"/>
        </w:rPr>
        <w:t>. SELECTING PRINCIPAL COMPONENTS</w:t>
      </w:r>
    </w:p>
    <w:p w14:paraId="782D7520"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To decide how many principal components to retain, we examine the </w:t>
      </w:r>
      <w:r w:rsidRPr="009348DB">
        <w:rPr>
          <w:rFonts w:ascii="Arial" w:hAnsi="Arial" w:cs="Arial"/>
          <w:bCs/>
          <w:sz w:val="20"/>
          <w:szCs w:val="20"/>
        </w:rPr>
        <w:t>eigenvalues</w:t>
      </w:r>
      <w:r w:rsidRPr="009348DB">
        <w:rPr>
          <w:rFonts w:ascii="Arial" w:hAnsi="Arial" w:cs="Arial"/>
          <w:sz w:val="20"/>
          <w:szCs w:val="20"/>
        </w:rPr>
        <w:t>. The proportion of variance explained by each principal component is:</w:t>
      </w:r>
    </w:p>
    <w:p w14:paraId="02F3494F" w14:textId="77777777" w:rsidR="00E24494" w:rsidRPr="009348DB" w:rsidRDefault="00A41962">
      <w:pPr>
        <w:ind w:firstLine="720"/>
        <w:jc w:val="both"/>
        <w:rPr>
          <w:rFonts w:ascii="Arial" w:hAnsi="Arial" w:cs="Arial"/>
          <w:sz w:val="20"/>
          <w:szCs w:val="20"/>
        </w:rPr>
      </w:pP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k</m:t>
                </m:r>
              </m:sub>
            </m:sSub>
          </m:num>
          <m:den>
            <m:nary>
              <m:naryPr>
                <m:chr m:val="∑"/>
                <m:limLoc m:val="undOvr"/>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p</m:t>
                </m:r>
              </m:sup>
              <m:e>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j</m:t>
                    </m:r>
                  </m:sub>
                </m:sSub>
              </m:e>
            </m:nary>
          </m:den>
        </m:f>
      </m:oMath>
      <w:r w:rsidR="0096508A" w:rsidRPr="009348DB">
        <w:rPr>
          <w:rFonts w:ascii="Arial" w:eastAsiaTheme="minorEastAsia" w:hAnsi="Arial" w:cs="Arial"/>
          <w:sz w:val="20"/>
          <w:szCs w:val="20"/>
        </w:rPr>
        <w:t xml:space="preserve"> </w:t>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5A35DD" w:rsidRPr="009348DB">
        <w:rPr>
          <w:rFonts w:ascii="Arial" w:eastAsiaTheme="minorEastAsia" w:hAnsi="Arial" w:cs="Arial"/>
          <w:sz w:val="20"/>
          <w:szCs w:val="20"/>
        </w:rPr>
        <w:tab/>
      </w:r>
      <w:r w:rsidR="0096508A" w:rsidRPr="009348DB">
        <w:rPr>
          <w:rFonts w:ascii="Arial" w:eastAsiaTheme="minorEastAsia" w:hAnsi="Arial" w:cs="Arial"/>
          <w:sz w:val="20"/>
          <w:szCs w:val="20"/>
        </w:rPr>
        <w:t>(9)</w:t>
      </w:r>
    </w:p>
    <w:p w14:paraId="4A5018C4"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where </w:t>
      </w:r>
      <w:proofErr w:type="spellStart"/>
      <w:r w:rsidRPr="009348DB">
        <w:rPr>
          <w:rFonts w:ascii="Arial" w:hAnsi="Arial" w:cs="Arial"/>
          <w:sz w:val="20"/>
          <w:szCs w:val="20"/>
        </w:rPr>
        <w:t>λ</w:t>
      </w:r>
      <w:r w:rsidRPr="009348DB">
        <w:rPr>
          <w:rFonts w:ascii="Arial" w:hAnsi="Arial" w:cs="Arial"/>
          <w:sz w:val="20"/>
          <w:szCs w:val="20"/>
          <w:vertAlign w:val="subscript"/>
        </w:rPr>
        <w:t>k</w:t>
      </w:r>
      <w:proofErr w:type="spellEnd"/>
      <w:r w:rsidRPr="009348DB">
        <w:rPr>
          <w:rFonts w:ascii="Arial" w:hAnsi="Arial" w:cs="Arial"/>
          <w:sz w:val="20"/>
          <w:szCs w:val="20"/>
        </w:rPr>
        <w:t xml:space="preserve"> is the eigenvalue for the k</w:t>
      </w:r>
      <w:r w:rsidRPr="009348DB">
        <w:rPr>
          <w:rFonts w:ascii="Arial" w:hAnsi="Arial" w:cs="Arial"/>
          <w:sz w:val="20"/>
          <w:szCs w:val="20"/>
          <w:vertAlign w:val="superscript"/>
        </w:rPr>
        <w:t>th</w:t>
      </w:r>
      <w:r w:rsidR="00C13035" w:rsidRPr="009348DB">
        <w:rPr>
          <w:rFonts w:ascii="Arial" w:hAnsi="Arial" w:cs="Arial"/>
          <w:sz w:val="20"/>
          <w:szCs w:val="20"/>
        </w:rPr>
        <w:t xml:space="preserve"> component.</w:t>
      </w:r>
    </w:p>
    <w:p w14:paraId="7DD2F277" w14:textId="77777777" w:rsidR="00C13035" w:rsidRPr="009348DB" w:rsidRDefault="00C13035">
      <w:pPr>
        <w:jc w:val="both"/>
        <w:rPr>
          <w:rFonts w:ascii="Arial" w:hAnsi="Arial" w:cs="Arial"/>
          <w:sz w:val="20"/>
          <w:szCs w:val="20"/>
        </w:rPr>
      </w:pPr>
      <w:r w:rsidRPr="009348DB">
        <w:rPr>
          <w:rFonts w:ascii="Arial" w:hAnsi="Arial" w:cs="Arial"/>
          <w:sz w:val="20"/>
          <w:szCs w:val="20"/>
        </w:rPr>
        <w:lastRenderedPageBreak/>
        <w:t xml:space="preserve">To determine the optimal number of components to retain in a factor analysis, three key criteria are often used. The </w:t>
      </w:r>
      <w:r w:rsidRPr="00437E74">
        <w:rPr>
          <w:rStyle w:val="Strong"/>
          <w:rFonts w:ascii="Arial" w:hAnsi="Arial" w:cs="Arial"/>
          <w:b w:val="0"/>
          <w:sz w:val="20"/>
          <w:szCs w:val="20"/>
        </w:rPr>
        <w:t>Kaiser Crite</w:t>
      </w:r>
      <w:r w:rsidRPr="009348DB">
        <w:rPr>
          <w:rStyle w:val="Strong"/>
          <w:rFonts w:ascii="Arial" w:hAnsi="Arial" w:cs="Arial"/>
          <w:sz w:val="20"/>
          <w:szCs w:val="20"/>
        </w:rPr>
        <w:t>rion</w:t>
      </w:r>
      <w:r w:rsidRPr="009348DB">
        <w:rPr>
          <w:rFonts w:ascii="Arial" w:hAnsi="Arial" w:cs="Arial"/>
          <w:sz w:val="20"/>
          <w:szCs w:val="20"/>
        </w:rPr>
        <w:t xml:space="preserve"> suggests retaining components with eigenvalues greater than 1, as these components account for more variance than a single variable. Additionally</w:t>
      </w:r>
      <w:r w:rsidRPr="00437E74">
        <w:rPr>
          <w:rFonts w:ascii="Arial" w:hAnsi="Arial" w:cs="Arial"/>
          <w:sz w:val="20"/>
          <w:szCs w:val="20"/>
        </w:rPr>
        <w:t xml:space="preserve">, the </w:t>
      </w:r>
      <w:r w:rsidRPr="00437E74">
        <w:rPr>
          <w:rStyle w:val="Strong"/>
          <w:rFonts w:ascii="Arial" w:hAnsi="Arial" w:cs="Arial"/>
          <w:b w:val="0"/>
          <w:sz w:val="20"/>
          <w:szCs w:val="20"/>
        </w:rPr>
        <w:t>Scree Plot</w:t>
      </w:r>
      <w:r w:rsidRPr="00437E74">
        <w:rPr>
          <w:rFonts w:ascii="Arial" w:hAnsi="Arial" w:cs="Arial"/>
          <w:sz w:val="20"/>
          <w:szCs w:val="20"/>
        </w:rPr>
        <w:t xml:space="preserve"> involves</w:t>
      </w:r>
      <w:r w:rsidRPr="009348DB">
        <w:rPr>
          <w:rFonts w:ascii="Arial" w:hAnsi="Arial" w:cs="Arial"/>
          <w:sz w:val="20"/>
          <w:szCs w:val="20"/>
        </w:rPr>
        <w:t xml:space="preserve"> plotting the eigenvalues in descending order and identifying an "elbow" point, where the slope levels off, indicating the optimal number of components. Finally, the </w:t>
      </w:r>
      <w:r w:rsidRPr="00437E74">
        <w:rPr>
          <w:rStyle w:val="Strong"/>
          <w:rFonts w:ascii="Arial" w:hAnsi="Arial" w:cs="Arial"/>
          <w:b w:val="0"/>
          <w:sz w:val="20"/>
          <w:szCs w:val="20"/>
        </w:rPr>
        <w:t>Cumulative Variance</w:t>
      </w:r>
      <w:r w:rsidRPr="009348DB">
        <w:rPr>
          <w:rFonts w:ascii="Arial" w:hAnsi="Arial" w:cs="Arial"/>
          <w:sz w:val="20"/>
          <w:szCs w:val="20"/>
        </w:rPr>
        <w:t xml:space="preserve"> criterion recommends retaining enough components to explain a substantial percentage of the variance, such as 90%, ensuring that the model sufficiently captures the data’s complexity.</w:t>
      </w:r>
    </w:p>
    <w:p w14:paraId="20ACB937" w14:textId="77777777" w:rsidR="00E24494" w:rsidRPr="009348DB" w:rsidRDefault="009348DB" w:rsidP="009348DB">
      <w:pPr>
        <w:pStyle w:val="ListParagraph"/>
        <w:numPr>
          <w:ilvl w:val="1"/>
          <w:numId w:val="7"/>
        </w:numPr>
        <w:jc w:val="both"/>
        <w:rPr>
          <w:rFonts w:ascii="Arial" w:hAnsi="Arial" w:cs="Arial"/>
          <w:b/>
          <w:bCs/>
        </w:rPr>
      </w:pPr>
      <w:r w:rsidRPr="009348DB">
        <w:rPr>
          <w:rFonts w:ascii="Arial" w:hAnsi="Arial" w:cs="Arial"/>
          <w:b/>
          <w:bCs/>
        </w:rPr>
        <w:t>ROTATION OF FACTORS</w:t>
      </w:r>
    </w:p>
    <w:p w14:paraId="1D4A41BC" w14:textId="77777777" w:rsidR="00E24494" w:rsidRPr="009348DB" w:rsidRDefault="0096508A" w:rsidP="00920897">
      <w:pPr>
        <w:jc w:val="both"/>
        <w:rPr>
          <w:rFonts w:ascii="Arial" w:hAnsi="Arial" w:cs="Arial"/>
          <w:sz w:val="20"/>
          <w:szCs w:val="20"/>
        </w:rPr>
      </w:pPr>
      <w:r w:rsidRPr="009348DB">
        <w:rPr>
          <w:rFonts w:ascii="Arial" w:hAnsi="Arial" w:cs="Arial"/>
          <w:sz w:val="20"/>
          <w:szCs w:val="20"/>
        </w:rPr>
        <w:t>Once factors are extracted, a rotation is often applied to make interpretation easier.</w:t>
      </w:r>
      <w:r w:rsidR="00920897" w:rsidRPr="009348DB">
        <w:rPr>
          <w:rFonts w:ascii="Arial" w:hAnsi="Arial" w:cs="Arial"/>
          <w:sz w:val="20"/>
          <w:szCs w:val="20"/>
        </w:rPr>
        <w:t xml:space="preserve"> Two main types of rotation are </w:t>
      </w:r>
      <w:r w:rsidRPr="009348DB">
        <w:rPr>
          <w:rFonts w:ascii="Arial" w:hAnsi="Arial" w:cs="Arial"/>
          <w:bCs/>
          <w:sz w:val="20"/>
          <w:szCs w:val="20"/>
        </w:rPr>
        <w:t>Orthogonal rotation</w:t>
      </w:r>
      <w:r w:rsidRPr="009348DB">
        <w:rPr>
          <w:rFonts w:ascii="Arial" w:hAnsi="Arial" w:cs="Arial"/>
          <w:sz w:val="20"/>
          <w:szCs w:val="20"/>
        </w:rPr>
        <w:t xml:space="preserve"> (e.g., Varimax): Assumes factors are uncorrelated and maximizes the variance</w:t>
      </w:r>
      <w:r w:rsidR="00920897" w:rsidRPr="009348DB">
        <w:rPr>
          <w:rFonts w:ascii="Arial" w:hAnsi="Arial" w:cs="Arial"/>
          <w:sz w:val="20"/>
          <w:szCs w:val="20"/>
        </w:rPr>
        <w:t xml:space="preserve"> of loadings within each factor and </w:t>
      </w:r>
      <w:r w:rsidRPr="009348DB">
        <w:rPr>
          <w:rFonts w:ascii="Arial" w:hAnsi="Arial" w:cs="Arial"/>
          <w:bCs/>
          <w:sz w:val="20"/>
          <w:szCs w:val="20"/>
        </w:rPr>
        <w:t>Oblique rotation</w:t>
      </w:r>
      <w:r w:rsidRPr="009348DB">
        <w:rPr>
          <w:rFonts w:ascii="Arial" w:hAnsi="Arial" w:cs="Arial"/>
          <w:sz w:val="20"/>
          <w:szCs w:val="20"/>
        </w:rPr>
        <w:t xml:space="preserve"> (e.g., </w:t>
      </w:r>
      <w:proofErr w:type="spellStart"/>
      <w:r w:rsidRPr="009348DB">
        <w:rPr>
          <w:rFonts w:ascii="Arial" w:hAnsi="Arial" w:cs="Arial"/>
          <w:sz w:val="20"/>
          <w:szCs w:val="20"/>
        </w:rPr>
        <w:t>Oblimin</w:t>
      </w:r>
      <w:proofErr w:type="spellEnd"/>
      <w:r w:rsidRPr="009348DB">
        <w:rPr>
          <w:rFonts w:ascii="Arial" w:hAnsi="Arial" w:cs="Arial"/>
          <w:sz w:val="20"/>
          <w:szCs w:val="20"/>
        </w:rPr>
        <w:t>, Promax): Allows factors to be correlated, which is often more realistic in personality and psychological research.</w:t>
      </w:r>
    </w:p>
    <w:p w14:paraId="44C8791A"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The rotation helps redistribute variance among factors, improving interpretability by maximizing high loadings and minimizing low loadings within each factor. </w:t>
      </w:r>
    </w:p>
    <w:p w14:paraId="59DAAFF0" w14:textId="77777777" w:rsidR="00E24494" w:rsidRPr="009348DB" w:rsidRDefault="009348DB">
      <w:pPr>
        <w:jc w:val="both"/>
        <w:rPr>
          <w:rFonts w:ascii="Arial" w:hAnsi="Arial" w:cs="Arial"/>
          <w:b/>
          <w:bCs/>
        </w:rPr>
      </w:pPr>
      <w:r w:rsidRPr="009348DB">
        <w:rPr>
          <w:rFonts w:ascii="Arial" w:hAnsi="Arial" w:cs="Arial"/>
          <w:b/>
          <w:bCs/>
        </w:rPr>
        <w:t>3.4. FACTOR SCORES</w:t>
      </w:r>
    </w:p>
    <w:p w14:paraId="359C6DB1" w14:textId="77777777" w:rsidR="00E24494" w:rsidRPr="009348DB" w:rsidRDefault="0096508A">
      <w:pPr>
        <w:jc w:val="both"/>
        <w:rPr>
          <w:rFonts w:ascii="Arial" w:hAnsi="Arial" w:cs="Arial"/>
          <w:strike/>
          <w:sz w:val="20"/>
          <w:szCs w:val="20"/>
        </w:rPr>
      </w:pPr>
      <w:r w:rsidRPr="009348DB">
        <w:rPr>
          <w:rFonts w:ascii="Arial" w:hAnsi="Arial" w:cs="Arial"/>
          <w:sz w:val="20"/>
          <w:szCs w:val="20"/>
        </w:rPr>
        <w:t xml:space="preserve">Factor scores are the estimated values of the latent factors for each observation. </w:t>
      </w:r>
    </w:p>
    <w:p w14:paraId="4D290188" w14:textId="77777777" w:rsidR="00E24494" w:rsidRPr="009348DB" w:rsidRDefault="0096508A">
      <w:pPr>
        <w:jc w:val="both"/>
        <w:rPr>
          <w:rFonts w:ascii="Arial" w:hAnsi="Arial" w:cs="Arial"/>
          <w:sz w:val="20"/>
          <w:szCs w:val="20"/>
        </w:rPr>
      </w:pPr>
      <w:r w:rsidRPr="009348DB">
        <w:rPr>
          <w:rFonts w:ascii="Arial" w:hAnsi="Arial" w:cs="Arial"/>
          <w:sz w:val="20"/>
          <w:szCs w:val="20"/>
        </w:rPr>
        <w:t>Factor scores provide a quantifiable measure of how much each observation (e.g., each respondent) scores on each latent factor identified in the analysis.</w:t>
      </w:r>
    </w:p>
    <w:p w14:paraId="392C9D44" w14:textId="77777777" w:rsidR="00E24494" w:rsidRPr="009348DB" w:rsidRDefault="00134506">
      <w:pPr>
        <w:jc w:val="both"/>
        <w:rPr>
          <w:rFonts w:ascii="Arial" w:hAnsi="Arial" w:cs="Arial"/>
          <w:b/>
        </w:rPr>
      </w:pPr>
      <w:r>
        <w:rPr>
          <w:rFonts w:ascii="Arial" w:hAnsi="Arial" w:cs="Arial"/>
          <w:b/>
        </w:rPr>
        <w:t>4.</w:t>
      </w:r>
      <w:r w:rsidR="009348DB" w:rsidRPr="009348DB">
        <w:rPr>
          <w:rFonts w:ascii="Arial" w:hAnsi="Arial" w:cs="Arial"/>
          <w:b/>
        </w:rPr>
        <w:t xml:space="preserve"> DATA ANALYSIS AND DISCUSSION OF RESULTS</w:t>
      </w:r>
    </w:p>
    <w:p w14:paraId="7F9A11E4" w14:textId="0AD35F21" w:rsidR="00E24494" w:rsidRPr="009348DB" w:rsidRDefault="0096508A" w:rsidP="00545534">
      <w:pPr>
        <w:spacing w:before="100" w:beforeAutospacing="1" w:after="100" w:afterAutospacing="1" w:line="240" w:lineRule="auto"/>
        <w:jc w:val="both"/>
        <w:rPr>
          <w:rFonts w:ascii="Arial" w:eastAsia="Times New Roman" w:hAnsi="Arial" w:cs="Arial"/>
          <w:sz w:val="20"/>
          <w:szCs w:val="20"/>
        </w:rPr>
      </w:pPr>
      <w:r w:rsidRPr="009348DB">
        <w:rPr>
          <w:rFonts w:ascii="Arial" w:eastAsia="Times New Roman" w:hAnsi="Arial" w:cs="Arial"/>
          <w:sz w:val="20"/>
          <w:szCs w:val="20"/>
        </w:rPr>
        <w:t xml:space="preserve">The respondent demographics in Table 1 reveal insights into Android phone preferences, age distribution, gender, and education level. The most common brand used by respondents is </w:t>
      </w:r>
      <w:proofErr w:type="spellStart"/>
      <w:r w:rsidRPr="009348DB">
        <w:rPr>
          <w:rFonts w:ascii="Arial" w:eastAsia="Times New Roman" w:hAnsi="Arial" w:cs="Arial"/>
          <w:sz w:val="20"/>
          <w:szCs w:val="20"/>
        </w:rPr>
        <w:t>Tecno</w:t>
      </w:r>
      <w:proofErr w:type="spellEnd"/>
      <w:r w:rsidRPr="009348DB">
        <w:rPr>
          <w:rFonts w:ascii="Arial" w:eastAsia="Times New Roman" w:hAnsi="Arial" w:cs="Arial"/>
          <w:sz w:val="20"/>
          <w:szCs w:val="20"/>
        </w:rPr>
        <w:t xml:space="preserve"> (41%), followed by Samsung (23%), </w:t>
      </w:r>
      <w:proofErr w:type="spellStart"/>
      <w:r w:rsidRPr="009348DB">
        <w:rPr>
          <w:rFonts w:ascii="Arial" w:eastAsia="Times New Roman" w:hAnsi="Arial" w:cs="Arial"/>
          <w:sz w:val="20"/>
          <w:szCs w:val="20"/>
        </w:rPr>
        <w:t>Infinix</w:t>
      </w:r>
      <w:proofErr w:type="spellEnd"/>
      <w:r w:rsidRPr="009348DB">
        <w:rPr>
          <w:rFonts w:ascii="Arial" w:eastAsia="Times New Roman" w:hAnsi="Arial" w:cs="Arial"/>
          <w:sz w:val="20"/>
          <w:szCs w:val="20"/>
        </w:rPr>
        <w:t xml:space="preserve"> (20%), and other brands (16%).The largest age group is 35-44 years (41%), followed by 25-34 years (33%). Smaller proportions fall into the 45-54 (16%), 16-24 (7%), and 55+ (3%) age groups. Males constitute a majority at 61%, while females make up 39%. Most respondents hold a first degree (52%), while 42% have a higher degree, and only 6% completed up to secondary school.</w:t>
      </w:r>
    </w:p>
    <w:p w14:paraId="54AD5003" w14:textId="77777777" w:rsidR="00E24494" w:rsidRPr="009348DB" w:rsidRDefault="00E24494">
      <w:pPr>
        <w:jc w:val="both"/>
        <w:rPr>
          <w:rFonts w:ascii="Arial" w:hAnsi="Arial" w:cs="Arial"/>
          <w:sz w:val="20"/>
          <w:szCs w:val="20"/>
        </w:rPr>
      </w:pPr>
    </w:p>
    <w:p w14:paraId="17E36A6B" w14:textId="77777777" w:rsidR="00E24494" w:rsidRPr="00134506" w:rsidRDefault="0096508A" w:rsidP="00134506">
      <w:pPr>
        <w:autoSpaceDE w:val="0"/>
        <w:autoSpaceDN w:val="0"/>
        <w:adjustRightInd w:val="0"/>
        <w:spacing w:line="240" w:lineRule="auto"/>
        <w:jc w:val="center"/>
        <w:rPr>
          <w:rFonts w:ascii="Arial" w:hAnsi="Arial" w:cs="Arial"/>
          <w:b/>
          <w:sz w:val="20"/>
          <w:szCs w:val="20"/>
        </w:rPr>
      </w:pPr>
      <w:r w:rsidRPr="00134506">
        <w:rPr>
          <w:rFonts w:ascii="Arial" w:hAnsi="Arial" w:cs="Arial"/>
          <w:b/>
          <w:sz w:val="20"/>
          <w:szCs w:val="20"/>
        </w:rPr>
        <w:t>Table 1: Respondent Demography</w:t>
      </w:r>
    </w:p>
    <w:tbl>
      <w:tblPr>
        <w:tblStyle w:val="PlainTable11"/>
        <w:tblW w:w="0" w:type="auto"/>
        <w:jc w:val="center"/>
        <w:tblLook w:val="04A0" w:firstRow="1" w:lastRow="0" w:firstColumn="1" w:lastColumn="0" w:noHBand="0" w:noVBand="1"/>
      </w:tblPr>
      <w:tblGrid>
        <w:gridCol w:w="2260"/>
        <w:gridCol w:w="3571"/>
        <w:gridCol w:w="559"/>
        <w:gridCol w:w="2182"/>
      </w:tblGrid>
      <w:tr w:rsidR="00E24494" w:rsidRPr="009348DB" w14:paraId="7808AE0F" w14:textId="77777777" w:rsidTr="00E24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F2F2F2" w:themeFill="background1" w:themeFillShade="F2"/>
          </w:tcPr>
          <w:p w14:paraId="0A7650DC" w14:textId="77777777" w:rsidR="00E24494" w:rsidRPr="009348DB" w:rsidRDefault="0096508A">
            <w:pPr>
              <w:autoSpaceDE w:val="0"/>
              <w:autoSpaceDN w:val="0"/>
              <w:adjustRightInd w:val="0"/>
              <w:spacing w:after="0" w:line="320" w:lineRule="atLeast"/>
              <w:ind w:left="60" w:right="60"/>
              <w:jc w:val="center"/>
              <w:rPr>
                <w:rFonts w:ascii="Arial" w:hAnsi="Arial" w:cs="Arial"/>
                <w:color w:val="000000"/>
                <w:sz w:val="20"/>
                <w:szCs w:val="20"/>
              </w:rPr>
            </w:pPr>
            <w:r w:rsidRPr="009348DB">
              <w:rPr>
                <w:rFonts w:ascii="Arial" w:hAnsi="Arial" w:cs="Arial"/>
                <w:color w:val="000000"/>
                <w:sz w:val="20"/>
                <w:szCs w:val="20"/>
              </w:rPr>
              <w:t>Case Processing Summary</w:t>
            </w:r>
          </w:p>
        </w:tc>
      </w:tr>
      <w:tr w:rsidR="00E24494" w:rsidRPr="009348DB" w14:paraId="36C5A4EE"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2F2F2" w:themeFill="background1" w:themeFillShade="F2"/>
          </w:tcPr>
          <w:p w14:paraId="000A60C0"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0" w:type="auto"/>
          </w:tcPr>
          <w:p w14:paraId="292E5D6C"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N</w:t>
            </w:r>
          </w:p>
        </w:tc>
        <w:tc>
          <w:tcPr>
            <w:tcW w:w="0" w:type="auto"/>
            <w:shd w:val="clear" w:color="auto" w:fill="F2F2F2" w:themeFill="background1" w:themeFillShade="F2"/>
          </w:tcPr>
          <w:p w14:paraId="72C2D080"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Marginal Percentage</w:t>
            </w:r>
          </w:p>
        </w:tc>
      </w:tr>
      <w:tr w:rsidR="00E24494" w:rsidRPr="009348DB" w14:paraId="5A0B8112"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5754FDA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proofErr w:type="spellStart"/>
            <w:r w:rsidRPr="00134506">
              <w:rPr>
                <w:rFonts w:ascii="Arial" w:hAnsi="Arial" w:cs="Arial"/>
                <w:b w:val="0"/>
                <w:color w:val="000000"/>
                <w:sz w:val="20"/>
                <w:szCs w:val="20"/>
              </w:rPr>
              <w:t>Andriod</w:t>
            </w:r>
            <w:proofErr w:type="spellEnd"/>
            <w:r w:rsidRPr="00134506">
              <w:rPr>
                <w:rFonts w:ascii="Arial" w:hAnsi="Arial" w:cs="Arial"/>
                <w:b w:val="0"/>
                <w:color w:val="000000"/>
                <w:sz w:val="20"/>
                <w:szCs w:val="20"/>
              </w:rPr>
              <w:t xml:space="preserve"> Phone Types</w:t>
            </w:r>
          </w:p>
        </w:tc>
        <w:tc>
          <w:tcPr>
            <w:tcW w:w="0" w:type="auto"/>
            <w:shd w:val="clear" w:color="auto" w:fill="F2F2F2" w:themeFill="background1" w:themeFillShade="F2"/>
          </w:tcPr>
          <w:p w14:paraId="7292C1A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Samsung</w:t>
            </w:r>
          </w:p>
        </w:tc>
        <w:tc>
          <w:tcPr>
            <w:tcW w:w="0" w:type="auto"/>
            <w:shd w:val="clear" w:color="auto" w:fill="F2F2F2" w:themeFill="background1" w:themeFillShade="F2"/>
          </w:tcPr>
          <w:p w14:paraId="031D39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w:t>
            </w:r>
          </w:p>
        </w:tc>
        <w:tc>
          <w:tcPr>
            <w:tcW w:w="0" w:type="auto"/>
            <w:shd w:val="clear" w:color="auto" w:fill="F2F2F2" w:themeFill="background1" w:themeFillShade="F2"/>
          </w:tcPr>
          <w:p w14:paraId="132A54F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23.0%</w:t>
            </w:r>
          </w:p>
        </w:tc>
      </w:tr>
      <w:tr w:rsidR="00E24494" w:rsidRPr="009348DB" w14:paraId="53769776"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663767F"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30C5894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Techno</w:t>
            </w:r>
          </w:p>
        </w:tc>
        <w:tc>
          <w:tcPr>
            <w:tcW w:w="0" w:type="auto"/>
            <w:shd w:val="clear" w:color="auto" w:fill="F2F2F2" w:themeFill="background1" w:themeFillShade="F2"/>
          </w:tcPr>
          <w:p w14:paraId="253049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w:t>
            </w:r>
          </w:p>
        </w:tc>
        <w:tc>
          <w:tcPr>
            <w:tcW w:w="0" w:type="auto"/>
          </w:tcPr>
          <w:p w14:paraId="488FE5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41.0%</w:t>
            </w:r>
          </w:p>
        </w:tc>
      </w:tr>
      <w:tr w:rsidR="00E24494" w:rsidRPr="009348DB" w14:paraId="7F66283B"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79D7C70"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3FBB7DC0"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sidRPr="009348DB">
              <w:rPr>
                <w:rFonts w:ascii="Arial" w:hAnsi="Arial" w:cs="Arial"/>
                <w:color w:val="000000"/>
                <w:sz w:val="20"/>
                <w:szCs w:val="20"/>
              </w:rPr>
              <w:t>Infinix</w:t>
            </w:r>
            <w:proofErr w:type="spellEnd"/>
          </w:p>
        </w:tc>
        <w:tc>
          <w:tcPr>
            <w:tcW w:w="0" w:type="auto"/>
            <w:shd w:val="clear" w:color="auto" w:fill="F2F2F2" w:themeFill="background1" w:themeFillShade="F2"/>
          </w:tcPr>
          <w:p w14:paraId="16D3F6E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w:t>
            </w:r>
          </w:p>
        </w:tc>
        <w:tc>
          <w:tcPr>
            <w:tcW w:w="0" w:type="auto"/>
            <w:shd w:val="clear" w:color="auto" w:fill="F2F2F2" w:themeFill="background1" w:themeFillShade="F2"/>
          </w:tcPr>
          <w:p w14:paraId="5CB3F90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20.0%</w:t>
            </w:r>
          </w:p>
        </w:tc>
      </w:tr>
      <w:tr w:rsidR="00E24494" w:rsidRPr="009348DB" w14:paraId="700DD0AE"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D226EB3"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7CFD87E4"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Others (Itel, </w:t>
            </w:r>
            <w:proofErr w:type="spellStart"/>
            <w:r w:rsidRPr="009348DB">
              <w:rPr>
                <w:rFonts w:ascii="Arial" w:hAnsi="Arial" w:cs="Arial"/>
                <w:color w:val="000000"/>
                <w:sz w:val="20"/>
                <w:szCs w:val="20"/>
              </w:rPr>
              <w:t>Oppo</w:t>
            </w:r>
            <w:proofErr w:type="spellEnd"/>
            <w:r w:rsidRPr="009348DB">
              <w:rPr>
                <w:rFonts w:ascii="Arial" w:hAnsi="Arial" w:cs="Arial"/>
                <w:color w:val="000000"/>
                <w:sz w:val="20"/>
                <w:szCs w:val="20"/>
              </w:rPr>
              <w:t xml:space="preserve">, Redmi &amp; </w:t>
            </w:r>
            <w:proofErr w:type="spellStart"/>
            <w:r w:rsidRPr="009348DB">
              <w:rPr>
                <w:rFonts w:ascii="Arial" w:hAnsi="Arial" w:cs="Arial"/>
                <w:color w:val="000000"/>
                <w:sz w:val="20"/>
                <w:szCs w:val="20"/>
              </w:rPr>
              <w:t>Gionee</w:t>
            </w:r>
            <w:proofErr w:type="spellEnd"/>
            <w:r w:rsidRPr="009348DB">
              <w:rPr>
                <w:rFonts w:ascii="Arial" w:hAnsi="Arial" w:cs="Arial"/>
                <w:color w:val="000000"/>
                <w:sz w:val="20"/>
                <w:szCs w:val="20"/>
              </w:rPr>
              <w:t>)</w:t>
            </w:r>
          </w:p>
        </w:tc>
        <w:tc>
          <w:tcPr>
            <w:tcW w:w="0" w:type="auto"/>
            <w:shd w:val="clear" w:color="auto" w:fill="F2F2F2" w:themeFill="background1" w:themeFillShade="F2"/>
          </w:tcPr>
          <w:p w14:paraId="25531EE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w:t>
            </w:r>
          </w:p>
        </w:tc>
        <w:tc>
          <w:tcPr>
            <w:tcW w:w="0" w:type="auto"/>
          </w:tcPr>
          <w:p w14:paraId="00D46A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16.0%</w:t>
            </w:r>
          </w:p>
        </w:tc>
      </w:tr>
      <w:tr w:rsidR="00E24494" w:rsidRPr="009348DB" w14:paraId="3EE26AA3"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5D0B8EE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Age</w:t>
            </w:r>
          </w:p>
        </w:tc>
        <w:tc>
          <w:tcPr>
            <w:tcW w:w="0" w:type="auto"/>
            <w:shd w:val="clear" w:color="auto" w:fill="F2F2F2" w:themeFill="background1" w:themeFillShade="F2"/>
          </w:tcPr>
          <w:p w14:paraId="1F755A3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16 -24</w:t>
            </w:r>
          </w:p>
        </w:tc>
        <w:tc>
          <w:tcPr>
            <w:tcW w:w="0" w:type="auto"/>
            <w:shd w:val="clear" w:color="auto" w:fill="F2F2F2" w:themeFill="background1" w:themeFillShade="F2"/>
          </w:tcPr>
          <w:p w14:paraId="7413530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w:t>
            </w:r>
          </w:p>
        </w:tc>
        <w:tc>
          <w:tcPr>
            <w:tcW w:w="0" w:type="auto"/>
            <w:shd w:val="clear" w:color="auto" w:fill="F2F2F2" w:themeFill="background1" w:themeFillShade="F2"/>
          </w:tcPr>
          <w:p w14:paraId="246482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7.0%</w:t>
            </w:r>
          </w:p>
        </w:tc>
      </w:tr>
      <w:tr w:rsidR="00E24494" w:rsidRPr="009348DB" w14:paraId="5C469AD1"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F21BFD7"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1CC95FA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0" w:type="auto"/>
            <w:shd w:val="clear" w:color="auto" w:fill="F2F2F2" w:themeFill="background1" w:themeFillShade="F2"/>
          </w:tcPr>
          <w:p w14:paraId="7467DE5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w:t>
            </w:r>
          </w:p>
        </w:tc>
        <w:tc>
          <w:tcPr>
            <w:tcW w:w="0" w:type="auto"/>
          </w:tcPr>
          <w:p w14:paraId="4FC88FE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33.0%</w:t>
            </w:r>
          </w:p>
        </w:tc>
      </w:tr>
      <w:tr w:rsidR="00E24494" w:rsidRPr="009348DB" w14:paraId="3AE2E068"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1BAE1959"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010F2182"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0" w:type="auto"/>
            <w:shd w:val="clear" w:color="auto" w:fill="F2F2F2" w:themeFill="background1" w:themeFillShade="F2"/>
          </w:tcPr>
          <w:p w14:paraId="3C85383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w:t>
            </w:r>
          </w:p>
        </w:tc>
        <w:tc>
          <w:tcPr>
            <w:tcW w:w="0" w:type="auto"/>
            <w:shd w:val="clear" w:color="auto" w:fill="F2F2F2" w:themeFill="background1" w:themeFillShade="F2"/>
          </w:tcPr>
          <w:p w14:paraId="5DCA747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41.0%</w:t>
            </w:r>
          </w:p>
        </w:tc>
      </w:tr>
      <w:tr w:rsidR="00E24494" w:rsidRPr="009348DB" w14:paraId="53B11A04"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2CC7D431"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0924308C"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0" w:type="auto"/>
            <w:shd w:val="clear" w:color="auto" w:fill="F2F2F2" w:themeFill="background1" w:themeFillShade="F2"/>
          </w:tcPr>
          <w:p w14:paraId="4C672F0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w:t>
            </w:r>
          </w:p>
        </w:tc>
        <w:tc>
          <w:tcPr>
            <w:tcW w:w="0" w:type="auto"/>
          </w:tcPr>
          <w:p w14:paraId="2D849E1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16.0%</w:t>
            </w:r>
          </w:p>
        </w:tc>
      </w:tr>
      <w:tr w:rsidR="00E24494" w:rsidRPr="009348DB" w14:paraId="4469D650"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4C3FE07F"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49944832"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0" w:type="auto"/>
            <w:shd w:val="clear" w:color="auto" w:fill="F2F2F2" w:themeFill="background1" w:themeFillShade="F2"/>
          </w:tcPr>
          <w:p w14:paraId="58A27AC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w:t>
            </w:r>
          </w:p>
        </w:tc>
        <w:tc>
          <w:tcPr>
            <w:tcW w:w="0" w:type="auto"/>
            <w:shd w:val="clear" w:color="auto" w:fill="F2F2F2" w:themeFill="background1" w:themeFillShade="F2"/>
          </w:tcPr>
          <w:p w14:paraId="6C4C411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w:t>
            </w:r>
          </w:p>
        </w:tc>
      </w:tr>
      <w:tr w:rsidR="00E24494" w:rsidRPr="009348DB" w14:paraId="6E9C8B3D"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2B4F9581"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Gender</w:t>
            </w:r>
          </w:p>
        </w:tc>
        <w:tc>
          <w:tcPr>
            <w:tcW w:w="0" w:type="auto"/>
          </w:tcPr>
          <w:p w14:paraId="2727328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0" w:type="auto"/>
            <w:shd w:val="clear" w:color="auto" w:fill="F2F2F2" w:themeFill="background1" w:themeFillShade="F2"/>
          </w:tcPr>
          <w:p w14:paraId="25CB505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w:t>
            </w:r>
          </w:p>
        </w:tc>
        <w:tc>
          <w:tcPr>
            <w:tcW w:w="0" w:type="auto"/>
          </w:tcPr>
          <w:p w14:paraId="03D71DB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61.0%</w:t>
            </w:r>
          </w:p>
        </w:tc>
      </w:tr>
      <w:tr w:rsidR="00E24494" w:rsidRPr="009348DB" w14:paraId="3C0735AE"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6968A1E"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583D4430"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0" w:type="auto"/>
            <w:shd w:val="clear" w:color="auto" w:fill="F2F2F2" w:themeFill="background1" w:themeFillShade="F2"/>
          </w:tcPr>
          <w:p w14:paraId="416DD4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39</w:t>
            </w:r>
          </w:p>
        </w:tc>
        <w:tc>
          <w:tcPr>
            <w:tcW w:w="0" w:type="auto"/>
            <w:shd w:val="clear" w:color="auto" w:fill="F2F2F2" w:themeFill="background1" w:themeFillShade="F2"/>
          </w:tcPr>
          <w:p w14:paraId="2D7D53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39.0%</w:t>
            </w:r>
          </w:p>
        </w:tc>
      </w:tr>
      <w:tr w:rsidR="00E24494" w:rsidRPr="009348DB" w14:paraId="6F58C43F"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7BA3195E"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lastRenderedPageBreak/>
              <w:t>Education Level</w:t>
            </w:r>
          </w:p>
        </w:tc>
        <w:tc>
          <w:tcPr>
            <w:tcW w:w="0" w:type="auto"/>
          </w:tcPr>
          <w:p w14:paraId="3B111E1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0" w:type="auto"/>
            <w:shd w:val="clear" w:color="auto" w:fill="F2F2F2" w:themeFill="background1" w:themeFillShade="F2"/>
          </w:tcPr>
          <w:p w14:paraId="1ABC246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w:t>
            </w:r>
          </w:p>
        </w:tc>
        <w:tc>
          <w:tcPr>
            <w:tcW w:w="0" w:type="auto"/>
          </w:tcPr>
          <w:p w14:paraId="3ECD91A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6.0%</w:t>
            </w:r>
          </w:p>
        </w:tc>
      </w:tr>
      <w:tr w:rsidR="00E24494" w:rsidRPr="009348DB" w14:paraId="469F2F66"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3B6DA14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0" w:type="auto"/>
            <w:shd w:val="clear" w:color="auto" w:fill="F2F2F2" w:themeFill="background1" w:themeFillShade="F2"/>
          </w:tcPr>
          <w:p w14:paraId="77D09B9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0" w:type="auto"/>
            <w:shd w:val="clear" w:color="auto" w:fill="F2F2F2" w:themeFill="background1" w:themeFillShade="F2"/>
          </w:tcPr>
          <w:p w14:paraId="18EF0E8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52</w:t>
            </w:r>
          </w:p>
        </w:tc>
        <w:tc>
          <w:tcPr>
            <w:tcW w:w="0" w:type="auto"/>
            <w:shd w:val="clear" w:color="auto" w:fill="F2F2F2" w:themeFill="background1" w:themeFillShade="F2"/>
          </w:tcPr>
          <w:p w14:paraId="260C72D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52.0%</w:t>
            </w:r>
          </w:p>
        </w:tc>
      </w:tr>
      <w:tr w:rsidR="00E24494" w:rsidRPr="009348DB" w14:paraId="264A5CF9"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63EA2ED9"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0" w:type="auto"/>
          </w:tcPr>
          <w:p w14:paraId="2A143006"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0" w:type="auto"/>
            <w:shd w:val="clear" w:color="auto" w:fill="F2F2F2" w:themeFill="background1" w:themeFillShade="F2"/>
          </w:tcPr>
          <w:p w14:paraId="63830CF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w:t>
            </w:r>
          </w:p>
        </w:tc>
        <w:tc>
          <w:tcPr>
            <w:tcW w:w="0" w:type="auto"/>
          </w:tcPr>
          <w:p w14:paraId="3594BE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r>
      <w:tr w:rsidR="00E24494" w:rsidRPr="009348DB" w14:paraId="67508072"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2F2F2" w:themeFill="background1" w:themeFillShade="F2"/>
          </w:tcPr>
          <w:p w14:paraId="0DDD74CE" w14:textId="77777777" w:rsidR="00E24494" w:rsidRPr="009348DB" w:rsidRDefault="00E24494">
            <w:pPr>
              <w:autoSpaceDE w:val="0"/>
              <w:autoSpaceDN w:val="0"/>
              <w:adjustRightInd w:val="0"/>
              <w:spacing w:after="0" w:line="320" w:lineRule="atLeast"/>
              <w:ind w:left="60" w:right="60"/>
              <w:rPr>
                <w:rFonts w:ascii="Arial" w:hAnsi="Arial" w:cs="Arial"/>
                <w:color w:val="000000"/>
                <w:sz w:val="20"/>
                <w:szCs w:val="20"/>
              </w:rPr>
            </w:pPr>
          </w:p>
        </w:tc>
        <w:tc>
          <w:tcPr>
            <w:tcW w:w="0" w:type="auto"/>
            <w:shd w:val="clear" w:color="auto" w:fill="F2F2F2" w:themeFill="background1" w:themeFillShade="F2"/>
          </w:tcPr>
          <w:p w14:paraId="03D6CD18" w14:textId="77777777" w:rsidR="00E24494" w:rsidRPr="009348DB" w:rsidRDefault="00E24494">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shd w:val="clear" w:color="auto" w:fill="F2F2F2" w:themeFill="background1" w:themeFillShade="F2"/>
          </w:tcPr>
          <w:p w14:paraId="6286C56B"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165C88CE" w14:textId="77777777" w:rsidR="00E24494" w:rsidRPr="009348DB" w:rsidRDefault="00E24494">
      <w:pPr>
        <w:jc w:val="both"/>
        <w:rPr>
          <w:rFonts w:ascii="Arial" w:hAnsi="Arial" w:cs="Arial"/>
          <w:sz w:val="20"/>
          <w:szCs w:val="20"/>
        </w:rPr>
      </w:pPr>
    </w:p>
    <w:p w14:paraId="76F9162F" w14:textId="77777777" w:rsidR="00E24494" w:rsidRPr="009348DB" w:rsidRDefault="00E24494">
      <w:pPr>
        <w:autoSpaceDE w:val="0"/>
        <w:autoSpaceDN w:val="0"/>
        <w:adjustRightInd w:val="0"/>
        <w:spacing w:after="0" w:line="240" w:lineRule="auto"/>
        <w:rPr>
          <w:rFonts w:ascii="Arial" w:hAnsi="Arial" w:cs="Arial"/>
          <w:sz w:val="20"/>
          <w:szCs w:val="20"/>
        </w:rPr>
      </w:pPr>
    </w:p>
    <w:p w14:paraId="4CD4F0A0" w14:textId="77777777" w:rsidR="00E24494" w:rsidRPr="009348DB" w:rsidRDefault="00E24494">
      <w:pPr>
        <w:autoSpaceDE w:val="0"/>
        <w:autoSpaceDN w:val="0"/>
        <w:adjustRightInd w:val="0"/>
        <w:spacing w:after="0" w:line="240" w:lineRule="auto"/>
        <w:rPr>
          <w:rFonts w:ascii="Arial" w:hAnsi="Arial" w:cs="Arial"/>
          <w:sz w:val="20"/>
          <w:szCs w:val="20"/>
        </w:rPr>
      </w:pPr>
    </w:p>
    <w:p w14:paraId="2020052A" w14:textId="77777777" w:rsidR="00E24494" w:rsidRPr="00134506" w:rsidRDefault="002A4004" w:rsidP="00134506">
      <w:pPr>
        <w:autoSpaceDE w:val="0"/>
        <w:autoSpaceDN w:val="0"/>
        <w:adjustRightInd w:val="0"/>
        <w:spacing w:line="240" w:lineRule="auto"/>
        <w:jc w:val="center"/>
        <w:rPr>
          <w:rFonts w:ascii="Arial" w:hAnsi="Arial" w:cs="Arial"/>
          <w:b/>
          <w:sz w:val="20"/>
          <w:szCs w:val="20"/>
        </w:rPr>
      </w:pPr>
      <w:r w:rsidRPr="00134506">
        <w:rPr>
          <w:rFonts w:ascii="Arial" w:hAnsi="Arial" w:cs="Arial"/>
          <w:b/>
          <w:bCs/>
          <w:color w:val="000000"/>
          <w:sz w:val="20"/>
          <w:szCs w:val="20"/>
        </w:rPr>
        <w:t>Table 2</w:t>
      </w:r>
      <w:r w:rsidR="0096508A" w:rsidRPr="00134506">
        <w:rPr>
          <w:rFonts w:ascii="Arial" w:hAnsi="Arial" w:cs="Arial"/>
          <w:b/>
          <w:bCs/>
          <w:color w:val="000000"/>
          <w:sz w:val="20"/>
          <w:szCs w:val="20"/>
        </w:rPr>
        <w:t>: Rotated Factor Matrix</w:t>
      </w:r>
    </w:p>
    <w:tbl>
      <w:tblPr>
        <w:tblStyle w:val="PlainTable21"/>
        <w:tblW w:w="0" w:type="auto"/>
        <w:tblLook w:val="04A0" w:firstRow="1" w:lastRow="0" w:firstColumn="1" w:lastColumn="0" w:noHBand="0" w:noVBand="1"/>
      </w:tblPr>
      <w:tblGrid>
        <w:gridCol w:w="4814"/>
        <w:gridCol w:w="726"/>
        <w:gridCol w:w="726"/>
        <w:gridCol w:w="726"/>
        <w:gridCol w:w="726"/>
        <w:gridCol w:w="726"/>
        <w:gridCol w:w="726"/>
      </w:tblGrid>
      <w:tr w:rsidR="00E24494" w:rsidRPr="009348DB" w14:paraId="07404AAC" w14:textId="77777777" w:rsidTr="00E24494">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0772EA56"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0" w:type="auto"/>
            <w:gridSpan w:val="6"/>
            <w:tcBorders>
              <w:top w:val="single" w:sz="4" w:space="0" w:color="7F7F7F" w:themeColor="text1" w:themeTint="80"/>
              <w:left w:val="single" w:sz="4" w:space="0" w:color="7F7F7F" w:themeColor="text1" w:themeTint="80"/>
              <w:right w:val="single" w:sz="4" w:space="0" w:color="7F7F7F" w:themeColor="text1" w:themeTint="80"/>
            </w:tcBorders>
          </w:tcPr>
          <w:p w14:paraId="5E94A30E"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Factor</w:t>
            </w:r>
          </w:p>
        </w:tc>
      </w:tr>
      <w:tr w:rsidR="00E24494" w:rsidRPr="009348DB" w14:paraId="7DC41FDD" w14:textId="77777777" w:rsidTr="00E24494">
        <w:trPr>
          <w:trHeight w:val="33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7F7F7F" w:themeColor="text1" w:themeTint="80"/>
              <w:right w:val="single" w:sz="4" w:space="0" w:color="7F7F7F" w:themeColor="text1" w:themeTint="80"/>
            </w:tcBorders>
          </w:tcPr>
          <w:p w14:paraId="487D624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0" w:type="auto"/>
            <w:tcBorders>
              <w:left w:val="single" w:sz="4" w:space="0" w:color="7F7F7F" w:themeColor="text1" w:themeTint="80"/>
              <w:right w:val="single" w:sz="4" w:space="0" w:color="7F7F7F" w:themeColor="text1" w:themeTint="80"/>
            </w:tcBorders>
          </w:tcPr>
          <w:p w14:paraId="0D2F332E"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0" w:type="auto"/>
            <w:tcBorders>
              <w:left w:val="single" w:sz="4" w:space="0" w:color="7F7F7F" w:themeColor="text1" w:themeTint="80"/>
              <w:right w:val="single" w:sz="4" w:space="0" w:color="7F7F7F" w:themeColor="text1" w:themeTint="80"/>
            </w:tcBorders>
          </w:tcPr>
          <w:p w14:paraId="66CB1DD6"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w:t>
            </w:r>
          </w:p>
        </w:tc>
        <w:tc>
          <w:tcPr>
            <w:tcW w:w="0" w:type="auto"/>
            <w:tcBorders>
              <w:left w:val="single" w:sz="4" w:space="0" w:color="7F7F7F" w:themeColor="text1" w:themeTint="80"/>
              <w:right w:val="single" w:sz="4" w:space="0" w:color="7F7F7F" w:themeColor="text1" w:themeTint="80"/>
            </w:tcBorders>
          </w:tcPr>
          <w:p w14:paraId="19448871"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w:t>
            </w:r>
          </w:p>
        </w:tc>
        <w:tc>
          <w:tcPr>
            <w:tcW w:w="0" w:type="auto"/>
            <w:tcBorders>
              <w:left w:val="single" w:sz="4" w:space="0" w:color="7F7F7F" w:themeColor="text1" w:themeTint="80"/>
              <w:right w:val="single" w:sz="4" w:space="0" w:color="7F7F7F" w:themeColor="text1" w:themeTint="80"/>
            </w:tcBorders>
          </w:tcPr>
          <w:p w14:paraId="75330787"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w:t>
            </w:r>
          </w:p>
        </w:tc>
        <w:tc>
          <w:tcPr>
            <w:tcW w:w="0" w:type="auto"/>
            <w:tcBorders>
              <w:left w:val="single" w:sz="4" w:space="0" w:color="7F7F7F" w:themeColor="text1" w:themeTint="80"/>
              <w:right w:val="single" w:sz="4" w:space="0" w:color="7F7F7F" w:themeColor="text1" w:themeTint="80"/>
            </w:tcBorders>
          </w:tcPr>
          <w:p w14:paraId="41B4B3E3"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w:t>
            </w:r>
          </w:p>
        </w:tc>
        <w:tc>
          <w:tcPr>
            <w:tcW w:w="0" w:type="auto"/>
            <w:tcBorders>
              <w:left w:val="single" w:sz="4" w:space="0" w:color="7F7F7F" w:themeColor="text1" w:themeTint="80"/>
              <w:right w:val="single" w:sz="4" w:space="0" w:color="7F7F7F" w:themeColor="text1" w:themeTint="80"/>
            </w:tcBorders>
          </w:tcPr>
          <w:p w14:paraId="4C65F065"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w:t>
            </w:r>
          </w:p>
        </w:tc>
      </w:tr>
      <w:tr w:rsidR="00E24494" w:rsidRPr="009348DB" w14:paraId="6852E27A"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0764EF"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are durable and can handle daily use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B8043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.744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8647D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7F9E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E7340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C2BEA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1951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.150</w:t>
            </w:r>
          </w:p>
        </w:tc>
      </w:tr>
      <w:tr w:rsidR="00E24494" w:rsidRPr="009348DB" w14:paraId="3E93102A"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4EC75B07"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provide reliable call quality and connectivity</w:t>
            </w:r>
          </w:p>
        </w:tc>
        <w:tc>
          <w:tcPr>
            <w:tcW w:w="0" w:type="auto"/>
            <w:tcBorders>
              <w:left w:val="single" w:sz="4" w:space="0" w:color="7F7F7F" w:themeColor="text1" w:themeTint="80"/>
              <w:right w:val="single" w:sz="4" w:space="0" w:color="7F7F7F" w:themeColor="text1" w:themeTint="80"/>
            </w:tcBorders>
          </w:tcPr>
          <w:p w14:paraId="50FC0D4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.714</w:t>
            </w:r>
          </w:p>
        </w:tc>
        <w:tc>
          <w:tcPr>
            <w:tcW w:w="0" w:type="auto"/>
            <w:tcBorders>
              <w:left w:val="single" w:sz="4" w:space="0" w:color="7F7F7F" w:themeColor="text1" w:themeTint="80"/>
              <w:right w:val="single" w:sz="4" w:space="0" w:color="7F7F7F" w:themeColor="text1" w:themeTint="80"/>
            </w:tcBorders>
          </w:tcPr>
          <w:p w14:paraId="709679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.195</w:t>
            </w:r>
          </w:p>
        </w:tc>
        <w:tc>
          <w:tcPr>
            <w:tcW w:w="0" w:type="auto"/>
            <w:tcBorders>
              <w:left w:val="single" w:sz="4" w:space="0" w:color="7F7F7F" w:themeColor="text1" w:themeTint="80"/>
              <w:right w:val="single" w:sz="4" w:space="0" w:color="7F7F7F" w:themeColor="text1" w:themeTint="80"/>
            </w:tcBorders>
          </w:tcPr>
          <w:p w14:paraId="57AD83F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.332</w:t>
            </w:r>
          </w:p>
        </w:tc>
        <w:tc>
          <w:tcPr>
            <w:tcW w:w="0" w:type="auto"/>
            <w:tcBorders>
              <w:left w:val="single" w:sz="4" w:space="0" w:color="7F7F7F" w:themeColor="text1" w:themeTint="80"/>
              <w:right w:val="single" w:sz="4" w:space="0" w:color="7F7F7F" w:themeColor="text1" w:themeTint="80"/>
            </w:tcBorders>
          </w:tcPr>
          <w:p w14:paraId="36AB87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.374</w:t>
            </w:r>
          </w:p>
        </w:tc>
        <w:tc>
          <w:tcPr>
            <w:tcW w:w="0" w:type="auto"/>
            <w:tcBorders>
              <w:left w:val="single" w:sz="4" w:space="0" w:color="7F7F7F" w:themeColor="text1" w:themeTint="80"/>
              <w:right w:val="single" w:sz="4" w:space="0" w:color="7F7F7F" w:themeColor="text1" w:themeTint="80"/>
            </w:tcBorders>
          </w:tcPr>
          <w:p w14:paraId="6D6E706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.184</w:t>
            </w:r>
          </w:p>
        </w:tc>
        <w:tc>
          <w:tcPr>
            <w:tcW w:w="0" w:type="auto"/>
            <w:tcBorders>
              <w:left w:val="single" w:sz="4" w:space="0" w:color="7F7F7F" w:themeColor="text1" w:themeTint="80"/>
              <w:right w:val="single" w:sz="4" w:space="0" w:color="7F7F7F" w:themeColor="text1" w:themeTint="80"/>
            </w:tcBorders>
          </w:tcPr>
          <w:p w14:paraId="40DB77E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.153</w:t>
            </w:r>
          </w:p>
        </w:tc>
      </w:tr>
      <w:tr w:rsidR="00E24494" w:rsidRPr="009348DB" w14:paraId="0B0C4B6D"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DFE6CA"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meet my basic needs in terms of performance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A58A7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.623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BD716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B3B6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67C7B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652DE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9E541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.261</w:t>
            </w:r>
          </w:p>
        </w:tc>
      </w:tr>
      <w:tr w:rsidR="00E24494" w:rsidRPr="009348DB" w14:paraId="4C293C43"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1B6450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I trust the quality of my Android phones</w:t>
            </w:r>
          </w:p>
        </w:tc>
        <w:tc>
          <w:tcPr>
            <w:tcW w:w="0" w:type="auto"/>
            <w:tcBorders>
              <w:left w:val="single" w:sz="4" w:space="0" w:color="7F7F7F" w:themeColor="text1" w:themeTint="80"/>
              <w:right w:val="single" w:sz="4" w:space="0" w:color="7F7F7F" w:themeColor="text1" w:themeTint="80"/>
            </w:tcBorders>
          </w:tcPr>
          <w:p w14:paraId="7881F7E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.610</w:t>
            </w:r>
          </w:p>
        </w:tc>
        <w:tc>
          <w:tcPr>
            <w:tcW w:w="0" w:type="auto"/>
            <w:tcBorders>
              <w:left w:val="single" w:sz="4" w:space="0" w:color="7F7F7F" w:themeColor="text1" w:themeTint="80"/>
              <w:right w:val="single" w:sz="4" w:space="0" w:color="7F7F7F" w:themeColor="text1" w:themeTint="80"/>
            </w:tcBorders>
          </w:tcPr>
          <w:p w14:paraId="2D0F35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.297</w:t>
            </w:r>
          </w:p>
        </w:tc>
        <w:tc>
          <w:tcPr>
            <w:tcW w:w="0" w:type="auto"/>
            <w:tcBorders>
              <w:left w:val="single" w:sz="4" w:space="0" w:color="7F7F7F" w:themeColor="text1" w:themeTint="80"/>
              <w:right w:val="single" w:sz="4" w:space="0" w:color="7F7F7F" w:themeColor="text1" w:themeTint="80"/>
            </w:tcBorders>
          </w:tcPr>
          <w:p w14:paraId="3B7E83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.454</w:t>
            </w:r>
          </w:p>
        </w:tc>
        <w:tc>
          <w:tcPr>
            <w:tcW w:w="0" w:type="auto"/>
            <w:tcBorders>
              <w:left w:val="single" w:sz="4" w:space="0" w:color="7F7F7F" w:themeColor="text1" w:themeTint="80"/>
              <w:right w:val="single" w:sz="4" w:space="0" w:color="7F7F7F" w:themeColor="text1" w:themeTint="80"/>
            </w:tcBorders>
          </w:tcPr>
          <w:p w14:paraId="7F8B96D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.326</w:t>
            </w:r>
          </w:p>
        </w:tc>
        <w:tc>
          <w:tcPr>
            <w:tcW w:w="0" w:type="auto"/>
            <w:tcBorders>
              <w:left w:val="single" w:sz="4" w:space="0" w:color="7F7F7F" w:themeColor="text1" w:themeTint="80"/>
              <w:right w:val="single" w:sz="4" w:space="0" w:color="7F7F7F" w:themeColor="text1" w:themeTint="80"/>
            </w:tcBorders>
          </w:tcPr>
          <w:p w14:paraId="2926A58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.220</w:t>
            </w:r>
          </w:p>
        </w:tc>
        <w:tc>
          <w:tcPr>
            <w:tcW w:w="0" w:type="auto"/>
            <w:tcBorders>
              <w:left w:val="single" w:sz="4" w:space="0" w:color="7F7F7F" w:themeColor="text1" w:themeTint="80"/>
              <w:right w:val="single" w:sz="4" w:space="0" w:color="7F7F7F" w:themeColor="text1" w:themeTint="80"/>
            </w:tcBorders>
          </w:tcPr>
          <w:p w14:paraId="4AA8E36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w:t>
            </w:r>
          </w:p>
        </w:tc>
      </w:tr>
      <w:tr w:rsidR="00E24494" w:rsidRPr="009348DB" w14:paraId="0B66F958"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F9BF9D"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I feel that my Android phone is committed to improving its technology</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38CBB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.584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ED0C7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0426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3CF4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73AE5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33C8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.269</w:t>
            </w:r>
          </w:p>
        </w:tc>
      </w:tr>
      <w:tr w:rsidR="00E24494" w:rsidRPr="009348DB" w14:paraId="51B1C7D4"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08784BB6"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My Android phone is a trustworthy brand</w:t>
            </w:r>
          </w:p>
        </w:tc>
        <w:tc>
          <w:tcPr>
            <w:tcW w:w="0" w:type="auto"/>
            <w:tcBorders>
              <w:left w:val="single" w:sz="4" w:space="0" w:color="7F7F7F" w:themeColor="text1" w:themeTint="80"/>
              <w:right w:val="single" w:sz="4" w:space="0" w:color="7F7F7F" w:themeColor="text1" w:themeTint="80"/>
            </w:tcBorders>
          </w:tcPr>
          <w:p w14:paraId="09FD351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.565</w:t>
            </w:r>
          </w:p>
        </w:tc>
        <w:tc>
          <w:tcPr>
            <w:tcW w:w="0" w:type="auto"/>
            <w:tcBorders>
              <w:left w:val="single" w:sz="4" w:space="0" w:color="7F7F7F" w:themeColor="text1" w:themeTint="80"/>
              <w:right w:val="single" w:sz="4" w:space="0" w:color="7F7F7F" w:themeColor="text1" w:themeTint="80"/>
            </w:tcBorders>
          </w:tcPr>
          <w:p w14:paraId="51E9D6F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.283</w:t>
            </w:r>
          </w:p>
        </w:tc>
        <w:tc>
          <w:tcPr>
            <w:tcW w:w="0" w:type="auto"/>
            <w:tcBorders>
              <w:left w:val="single" w:sz="4" w:space="0" w:color="7F7F7F" w:themeColor="text1" w:themeTint="80"/>
              <w:right w:val="single" w:sz="4" w:space="0" w:color="7F7F7F" w:themeColor="text1" w:themeTint="80"/>
            </w:tcBorders>
          </w:tcPr>
          <w:p w14:paraId="12E8C3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.495</w:t>
            </w:r>
          </w:p>
        </w:tc>
        <w:tc>
          <w:tcPr>
            <w:tcW w:w="0" w:type="auto"/>
            <w:tcBorders>
              <w:left w:val="single" w:sz="4" w:space="0" w:color="7F7F7F" w:themeColor="text1" w:themeTint="80"/>
              <w:right w:val="single" w:sz="4" w:space="0" w:color="7F7F7F" w:themeColor="text1" w:themeTint="80"/>
            </w:tcBorders>
          </w:tcPr>
          <w:p w14:paraId="069B5D0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.199</w:t>
            </w:r>
          </w:p>
        </w:tc>
        <w:tc>
          <w:tcPr>
            <w:tcW w:w="0" w:type="auto"/>
            <w:tcBorders>
              <w:left w:val="single" w:sz="4" w:space="0" w:color="7F7F7F" w:themeColor="text1" w:themeTint="80"/>
              <w:right w:val="single" w:sz="4" w:space="0" w:color="7F7F7F" w:themeColor="text1" w:themeTint="80"/>
            </w:tcBorders>
          </w:tcPr>
          <w:p w14:paraId="114D207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.274</w:t>
            </w:r>
          </w:p>
        </w:tc>
        <w:tc>
          <w:tcPr>
            <w:tcW w:w="0" w:type="auto"/>
            <w:tcBorders>
              <w:left w:val="single" w:sz="4" w:space="0" w:color="7F7F7F" w:themeColor="text1" w:themeTint="80"/>
              <w:right w:val="single" w:sz="4" w:space="0" w:color="7F7F7F" w:themeColor="text1" w:themeTint="80"/>
            </w:tcBorders>
          </w:tcPr>
          <w:p w14:paraId="56E2B1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.262</w:t>
            </w:r>
          </w:p>
        </w:tc>
      </w:tr>
      <w:tr w:rsidR="00E24494" w:rsidRPr="009348DB" w14:paraId="080DBDAC"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4BFA7E"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My Android phone has a good reputation in the market.</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D56B8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.562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8AAC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0A71F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C2FB4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2EB7D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50C1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.179</w:t>
            </w:r>
          </w:p>
        </w:tc>
      </w:tr>
      <w:tr w:rsidR="00E24494" w:rsidRPr="009348DB" w14:paraId="52FBB321"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1232294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My Android phone is recognized as a quality budget brand</w:t>
            </w:r>
          </w:p>
        </w:tc>
        <w:tc>
          <w:tcPr>
            <w:tcW w:w="0" w:type="auto"/>
            <w:tcBorders>
              <w:left w:val="single" w:sz="4" w:space="0" w:color="7F7F7F" w:themeColor="text1" w:themeTint="80"/>
              <w:right w:val="single" w:sz="4" w:space="0" w:color="7F7F7F" w:themeColor="text1" w:themeTint="80"/>
            </w:tcBorders>
          </w:tcPr>
          <w:p w14:paraId="29657E2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.546</w:t>
            </w:r>
          </w:p>
        </w:tc>
        <w:tc>
          <w:tcPr>
            <w:tcW w:w="0" w:type="auto"/>
            <w:tcBorders>
              <w:left w:val="single" w:sz="4" w:space="0" w:color="7F7F7F" w:themeColor="text1" w:themeTint="80"/>
              <w:right w:val="single" w:sz="4" w:space="0" w:color="7F7F7F" w:themeColor="text1" w:themeTint="80"/>
            </w:tcBorders>
          </w:tcPr>
          <w:p w14:paraId="35A65CD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.316</w:t>
            </w:r>
          </w:p>
        </w:tc>
        <w:tc>
          <w:tcPr>
            <w:tcW w:w="0" w:type="auto"/>
            <w:tcBorders>
              <w:left w:val="single" w:sz="4" w:space="0" w:color="7F7F7F" w:themeColor="text1" w:themeTint="80"/>
              <w:right w:val="single" w:sz="4" w:space="0" w:color="7F7F7F" w:themeColor="text1" w:themeTint="80"/>
            </w:tcBorders>
          </w:tcPr>
          <w:p w14:paraId="4A446B7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.505</w:t>
            </w:r>
          </w:p>
        </w:tc>
        <w:tc>
          <w:tcPr>
            <w:tcW w:w="0" w:type="auto"/>
            <w:tcBorders>
              <w:left w:val="single" w:sz="4" w:space="0" w:color="7F7F7F" w:themeColor="text1" w:themeTint="80"/>
              <w:right w:val="single" w:sz="4" w:space="0" w:color="7F7F7F" w:themeColor="text1" w:themeTint="80"/>
            </w:tcBorders>
          </w:tcPr>
          <w:p w14:paraId="3DDA7E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.257</w:t>
            </w:r>
          </w:p>
        </w:tc>
        <w:tc>
          <w:tcPr>
            <w:tcW w:w="0" w:type="auto"/>
            <w:tcBorders>
              <w:left w:val="single" w:sz="4" w:space="0" w:color="7F7F7F" w:themeColor="text1" w:themeTint="80"/>
              <w:right w:val="single" w:sz="4" w:space="0" w:color="7F7F7F" w:themeColor="text1" w:themeTint="80"/>
            </w:tcBorders>
          </w:tcPr>
          <w:p w14:paraId="0234EEE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.175</w:t>
            </w:r>
          </w:p>
        </w:tc>
        <w:tc>
          <w:tcPr>
            <w:tcW w:w="0" w:type="auto"/>
            <w:tcBorders>
              <w:left w:val="single" w:sz="4" w:space="0" w:color="7F7F7F" w:themeColor="text1" w:themeTint="80"/>
              <w:right w:val="single" w:sz="4" w:space="0" w:color="7F7F7F" w:themeColor="text1" w:themeTint="80"/>
            </w:tcBorders>
          </w:tcPr>
          <w:p w14:paraId="43BD5F3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.107</w:t>
            </w:r>
          </w:p>
        </w:tc>
      </w:tr>
      <w:tr w:rsidR="00E24494" w:rsidRPr="009348DB" w14:paraId="372C9F59"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13CF29"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perform well without frequent technical issues.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FF070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BD54B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669F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0D80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0F050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3FD7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.268</w:t>
            </w:r>
          </w:p>
        </w:tc>
      </w:tr>
      <w:tr w:rsidR="00E24494" w:rsidRPr="009348DB" w14:paraId="258E74A0" w14:textId="77777777" w:rsidTr="00E24494">
        <w:trPr>
          <w:trHeight w:val="1046"/>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45E9E01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C: My Android phone offers better quality than other budget Android brands</w:t>
            </w:r>
          </w:p>
        </w:tc>
        <w:tc>
          <w:tcPr>
            <w:tcW w:w="0" w:type="auto"/>
            <w:tcBorders>
              <w:left w:val="single" w:sz="4" w:space="0" w:color="7F7F7F" w:themeColor="text1" w:themeTint="80"/>
              <w:right w:val="single" w:sz="4" w:space="0" w:color="7F7F7F" w:themeColor="text1" w:themeTint="80"/>
            </w:tcBorders>
          </w:tcPr>
          <w:p w14:paraId="3845B1A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.222</w:t>
            </w:r>
          </w:p>
        </w:tc>
        <w:tc>
          <w:tcPr>
            <w:tcW w:w="0" w:type="auto"/>
            <w:tcBorders>
              <w:left w:val="single" w:sz="4" w:space="0" w:color="7F7F7F" w:themeColor="text1" w:themeTint="80"/>
              <w:right w:val="single" w:sz="4" w:space="0" w:color="7F7F7F" w:themeColor="text1" w:themeTint="80"/>
            </w:tcBorders>
          </w:tcPr>
          <w:p w14:paraId="64BC7C4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.835</w:t>
            </w:r>
          </w:p>
        </w:tc>
        <w:tc>
          <w:tcPr>
            <w:tcW w:w="0" w:type="auto"/>
            <w:tcBorders>
              <w:left w:val="single" w:sz="4" w:space="0" w:color="7F7F7F" w:themeColor="text1" w:themeTint="80"/>
              <w:right w:val="single" w:sz="4" w:space="0" w:color="7F7F7F" w:themeColor="text1" w:themeTint="80"/>
            </w:tcBorders>
          </w:tcPr>
          <w:p w14:paraId="2DF977C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.211</w:t>
            </w:r>
          </w:p>
        </w:tc>
        <w:tc>
          <w:tcPr>
            <w:tcW w:w="0" w:type="auto"/>
            <w:tcBorders>
              <w:left w:val="single" w:sz="4" w:space="0" w:color="7F7F7F" w:themeColor="text1" w:themeTint="80"/>
              <w:right w:val="single" w:sz="4" w:space="0" w:color="7F7F7F" w:themeColor="text1" w:themeTint="80"/>
            </w:tcBorders>
          </w:tcPr>
          <w:p w14:paraId="5674028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.051</w:t>
            </w:r>
          </w:p>
        </w:tc>
        <w:tc>
          <w:tcPr>
            <w:tcW w:w="0" w:type="auto"/>
            <w:tcBorders>
              <w:left w:val="single" w:sz="4" w:space="0" w:color="7F7F7F" w:themeColor="text1" w:themeTint="80"/>
              <w:right w:val="single" w:sz="4" w:space="0" w:color="7F7F7F" w:themeColor="text1" w:themeTint="80"/>
            </w:tcBorders>
          </w:tcPr>
          <w:p w14:paraId="3B91BF9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.149</w:t>
            </w:r>
          </w:p>
        </w:tc>
        <w:tc>
          <w:tcPr>
            <w:tcW w:w="0" w:type="auto"/>
            <w:tcBorders>
              <w:left w:val="single" w:sz="4" w:space="0" w:color="7F7F7F" w:themeColor="text1" w:themeTint="80"/>
              <w:right w:val="single" w:sz="4" w:space="0" w:color="7F7F7F" w:themeColor="text1" w:themeTint="80"/>
            </w:tcBorders>
          </w:tcPr>
          <w:p w14:paraId="6170202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.177</w:t>
            </w:r>
          </w:p>
        </w:tc>
      </w:tr>
      <w:tr w:rsidR="00E24494" w:rsidRPr="009348DB" w14:paraId="5A16BE47" w14:textId="77777777" w:rsidTr="00E24494">
        <w:trPr>
          <w:trHeight w:val="10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1CECA6"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C: My Android phone provides more value for money compared to other brands.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AF83E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65235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.758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08BCC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4017A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D771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35980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.033</w:t>
            </w:r>
          </w:p>
        </w:tc>
      </w:tr>
      <w:tr w:rsidR="00E24494" w:rsidRPr="009348DB" w14:paraId="5FD22A94"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358E934B"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C: Customer service is better than that of other brands.</w:t>
            </w:r>
          </w:p>
        </w:tc>
        <w:tc>
          <w:tcPr>
            <w:tcW w:w="0" w:type="auto"/>
            <w:tcBorders>
              <w:left w:val="single" w:sz="4" w:space="0" w:color="7F7F7F" w:themeColor="text1" w:themeTint="80"/>
              <w:right w:val="single" w:sz="4" w:space="0" w:color="7F7F7F" w:themeColor="text1" w:themeTint="80"/>
            </w:tcBorders>
          </w:tcPr>
          <w:p w14:paraId="39B5747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.123</w:t>
            </w:r>
          </w:p>
        </w:tc>
        <w:tc>
          <w:tcPr>
            <w:tcW w:w="0" w:type="auto"/>
            <w:tcBorders>
              <w:left w:val="single" w:sz="4" w:space="0" w:color="7F7F7F" w:themeColor="text1" w:themeTint="80"/>
              <w:right w:val="single" w:sz="4" w:space="0" w:color="7F7F7F" w:themeColor="text1" w:themeTint="80"/>
            </w:tcBorders>
          </w:tcPr>
          <w:p w14:paraId="0142F43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.639</w:t>
            </w:r>
          </w:p>
        </w:tc>
        <w:tc>
          <w:tcPr>
            <w:tcW w:w="0" w:type="auto"/>
            <w:tcBorders>
              <w:left w:val="single" w:sz="4" w:space="0" w:color="7F7F7F" w:themeColor="text1" w:themeTint="80"/>
              <w:right w:val="single" w:sz="4" w:space="0" w:color="7F7F7F" w:themeColor="text1" w:themeTint="80"/>
            </w:tcBorders>
          </w:tcPr>
          <w:p w14:paraId="009FD82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.255</w:t>
            </w:r>
          </w:p>
        </w:tc>
        <w:tc>
          <w:tcPr>
            <w:tcW w:w="0" w:type="auto"/>
            <w:tcBorders>
              <w:left w:val="single" w:sz="4" w:space="0" w:color="7F7F7F" w:themeColor="text1" w:themeTint="80"/>
              <w:right w:val="single" w:sz="4" w:space="0" w:color="7F7F7F" w:themeColor="text1" w:themeTint="80"/>
            </w:tcBorders>
          </w:tcPr>
          <w:p w14:paraId="0F33C81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.042</w:t>
            </w:r>
          </w:p>
        </w:tc>
        <w:tc>
          <w:tcPr>
            <w:tcW w:w="0" w:type="auto"/>
            <w:tcBorders>
              <w:left w:val="single" w:sz="4" w:space="0" w:color="7F7F7F" w:themeColor="text1" w:themeTint="80"/>
              <w:right w:val="single" w:sz="4" w:space="0" w:color="7F7F7F" w:themeColor="text1" w:themeTint="80"/>
            </w:tcBorders>
          </w:tcPr>
          <w:p w14:paraId="508F74E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.447</w:t>
            </w:r>
          </w:p>
        </w:tc>
        <w:tc>
          <w:tcPr>
            <w:tcW w:w="0" w:type="auto"/>
            <w:tcBorders>
              <w:left w:val="single" w:sz="4" w:space="0" w:color="7F7F7F" w:themeColor="text1" w:themeTint="80"/>
              <w:right w:val="single" w:sz="4" w:space="0" w:color="7F7F7F" w:themeColor="text1" w:themeTint="80"/>
            </w:tcBorders>
          </w:tcPr>
          <w:p w14:paraId="2A85887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.101</w:t>
            </w:r>
          </w:p>
        </w:tc>
      </w:tr>
      <w:tr w:rsidR="00E24494" w:rsidRPr="009348DB" w14:paraId="3D941D5C" w14:textId="77777777" w:rsidTr="00E24494">
        <w:trPr>
          <w:trHeight w:val="10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B863AF"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lastRenderedPageBreak/>
              <w:t>C: My Android phone features are competitive with other budget phone brands.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4E3F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3AB88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.578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C5CA3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EA87A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62E0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5C5E2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.044</w:t>
            </w:r>
          </w:p>
        </w:tc>
      </w:tr>
      <w:tr w:rsidR="00E24494" w:rsidRPr="009348DB" w14:paraId="04BD3300"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637388C"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People in my community think positively of my Android phones</w:t>
            </w:r>
          </w:p>
        </w:tc>
        <w:tc>
          <w:tcPr>
            <w:tcW w:w="0" w:type="auto"/>
            <w:tcBorders>
              <w:left w:val="single" w:sz="4" w:space="0" w:color="7F7F7F" w:themeColor="text1" w:themeTint="80"/>
              <w:right w:val="single" w:sz="4" w:space="0" w:color="7F7F7F" w:themeColor="text1" w:themeTint="80"/>
            </w:tcBorders>
          </w:tcPr>
          <w:p w14:paraId="3F8142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.302</w:t>
            </w:r>
          </w:p>
        </w:tc>
        <w:tc>
          <w:tcPr>
            <w:tcW w:w="0" w:type="auto"/>
            <w:tcBorders>
              <w:left w:val="single" w:sz="4" w:space="0" w:color="7F7F7F" w:themeColor="text1" w:themeTint="80"/>
              <w:right w:val="single" w:sz="4" w:space="0" w:color="7F7F7F" w:themeColor="text1" w:themeTint="80"/>
            </w:tcBorders>
          </w:tcPr>
          <w:p w14:paraId="5CEC9A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.517</w:t>
            </w:r>
          </w:p>
        </w:tc>
        <w:tc>
          <w:tcPr>
            <w:tcW w:w="0" w:type="auto"/>
            <w:tcBorders>
              <w:left w:val="single" w:sz="4" w:space="0" w:color="7F7F7F" w:themeColor="text1" w:themeTint="80"/>
              <w:right w:val="single" w:sz="4" w:space="0" w:color="7F7F7F" w:themeColor="text1" w:themeTint="80"/>
            </w:tcBorders>
          </w:tcPr>
          <w:p w14:paraId="7BF791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.316</w:t>
            </w:r>
          </w:p>
        </w:tc>
        <w:tc>
          <w:tcPr>
            <w:tcW w:w="0" w:type="auto"/>
            <w:tcBorders>
              <w:left w:val="single" w:sz="4" w:space="0" w:color="7F7F7F" w:themeColor="text1" w:themeTint="80"/>
              <w:right w:val="single" w:sz="4" w:space="0" w:color="7F7F7F" w:themeColor="text1" w:themeTint="80"/>
            </w:tcBorders>
          </w:tcPr>
          <w:p w14:paraId="63A532B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.243</w:t>
            </w:r>
          </w:p>
        </w:tc>
        <w:tc>
          <w:tcPr>
            <w:tcW w:w="0" w:type="auto"/>
            <w:tcBorders>
              <w:left w:val="single" w:sz="4" w:space="0" w:color="7F7F7F" w:themeColor="text1" w:themeTint="80"/>
              <w:right w:val="single" w:sz="4" w:space="0" w:color="7F7F7F" w:themeColor="text1" w:themeTint="80"/>
            </w:tcBorders>
          </w:tcPr>
          <w:p w14:paraId="5396A0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.233</w:t>
            </w:r>
          </w:p>
        </w:tc>
        <w:tc>
          <w:tcPr>
            <w:tcW w:w="0" w:type="auto"/>
            <w:tcBorders>
              <w:left w:val="single" w:sz="4" w:space="0" w:color="7F7F7F" w:themeColor="text1" w:themeTint="80"/>
              <w:right w:val="single" w:sz="4" w:space="0" w:color="7F7F7F" w:themeColor="text1" w:themeTint="80"/>
            </w:tcBorders>
          </w:tcPr>
          <w:p w14:paraId="548B72B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.184</w:t>
            </w:r>
          </w:p>
        </w:tc>
      </w:tr>
      <w:tr w:rsidR="00E24494" w:rsidRPr="009348DB" w14:paraId="426D1180"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5A29EA"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My Android phone is innovative compared to other budget brands.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06E89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151E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.485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4C73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.026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EB35D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7CCD9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E745C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.180</w:t>
            </w:r>
          </w:p>
        </w:tc>
      </w:tr>
      <w:tr w:rsidR="00E24494" w:rsidRPr="009348DB" w14:paraId="43D56A12"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6D454166"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would consider buying another of my Android phone in the future</w:t>
            </w:r>
          </w:p>
        </w:tc>
        <w:tc>
          <w:tcPr>
            <w:tcW w:w="0" w:type="auto"/>
            <w:tcBorders>
              <w:left w:val="single" w:sz="4" w:space="0" w:color="7F7F7F" w:themeColor="text1" w:themeTint="80"/>
              <w:right w:val="single" w:sz="4" w:space="0" w:color="7F7F7F" w:themeColor="text1" w:themeTint="80"/>
            </w:tcBorders>
          </w:tcPr>
          <w:p w14:paraId="14EAE77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.188</w:t>
            </w:r>
          </w:p>
        </w:tc>
        <w:tc>
          <w:tcPr>
            <w:tcW w:w="0" w:type="auto"/>
            <w:tcBorders>
              <w:left w:val="single" w:sz="4" w:space="0" w:color="7F7F7F" w:themeColor="text1" w:themeTint="80"/>
              <w:right w:val="single" w:sz="4" w:space="0" w:color="7F7F7F" w:themeColor="text1" w:themeTint="80"/>
            </w:tcBorders>
          </w:tcPr>
          <w:p w14:paraId="12BE41A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.324</w:t>
            </w:r>
          </w:p>
        </w:tc>
        <w:tc>
          <w:tcPr>
            <w:tcW w:w="0" w:type="auto"/>
            <w:tcBorders>
              <w:left w:val="single" w:sz="4" w:space="0" w:color="7F7F7F" w:themeColor="text1" w:themeTint="80"/>
              <w:right w:val="single" w:sz="4" w:space="0" w:color="7F7F7F" w:themeColor="text1" w:themeTint="80"/>
            </w:tcBorders>
          </w:tcPr>
          <w:p w14:paraId="27E98ED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.693</w:t>
            </w:r>
          </w:p>
        </w:tc>
        <w:tc>
          <w:tcPr>
            <w:tcW w:w="0" w:type="auto"/>
            <w:tcBorders>
              <w:left w:val="single" w:sz="4" w:space="0" w:color="7F7F7F" w:themeColor="text1" w:themeTint="80"/>
              <w:right w:val="single" w:sz="4" w:space="0" w:color="7F7F7F" w:themeColor="text1" w:themeTint="80"/>
            </w:tcBorders>
          </w:tcPr>
          <w:p w14:paraId="4618B8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.151</w:t>
            </w:r>
          </w:p>
        </w:tc>
        <w:tc>
          <w:tcPr>
            <w:tcW w:w="0" w:type="auto"/>
            <w:tcBorders>
              <w:left w:val="single" w:sz="4" w:space="0" w:color="7F7F7F" w:themeColor="text1" w:themeTint="80"/>
              <w:right w:val="single" w:sz="4" w:space="0" w:color="7F7F7F" w:themeColor="text1" w:themeTint="80"/>
            </w:tcBorders>
          </w:tcPr>
          <w:p w14:paraId="3D589EB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.235</w:t>
            </w:r>
          </w:p>
        </w:tc>
        <w:tc>
          <w:tcPr>
            <w:tcW w:w="0" w:type="auto"/>
            <w:tcBorders>
              <w:left w:val="single" w:sz="4" w:space="0" w:color="7F7F7F" w:themeColor="text1" w:themeTint="80"/>
              <w:right w:val="single" w:sz="4" w:space="0" w:color="7F7F7F" w:themeColor="text1" w:themeTint="80"/>
            </w:tcBorders>
          </w:tcPr>
          <w:p w14:paraId="0BCC9D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.142</w:t>
            </w:r>
          </w:p>
        </w:tc>
      </w:tr>
      <w:tr w:rsidR="00E24494" w:rsidRPr="009348DB" w14:paraId="1BB0F5D8"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52FDBE"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am satisfied with my choice to use my Android phone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DD4D9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F7A04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CDBE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.665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114F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153B5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91713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.046</w:t>
            </w:r>
          </w:p>
        </w:tc>
      </w:tr>
      <w:tr w:rsidR="00E24494" w:rsidRPr="009348DB" w14:paraId="5E1518D4" w14:textId="77777777" w:rsidTr="00E24494">
        <w:trPr>
          <w:trHeight w:val="1046"/>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6ED40F0C"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would recommend my Android phones to others looking for a budget option</w:t>
            </w:r>
          </w:p>
        </w:tc>
        <w:tc>
          <w:tcPr>
            <w:tcW w:w="0" w:type="auto"/>
            <w:tcBorders>
              <w:left w:val="single" w:sz="4" w:space="0" w:color="7F7F7F" w:themeColor="text1" w:themeTint="80"/>
              <w:right w:val="single" w:sz="4" w:space="0" w:color="7F7F7F" w:themeColor="text1" w:themeTint="80"/>
            </w:tcBorders>
          </w:tcPr>
          <w:p w14:paraId="5852264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.350</w:t>
            </w:r>
          </w:p>
        </w:tc>
        <w:tc>
          <w:tcPr>
            <w:tcW w:w="0" w:type="auto"/>
            <w:tcBorders>
              <w:left w:val="single" w:sz="4" w:space="0" w:color="7F7F7F" w:themeColor="text1" w:themeTint="80"/>
              <w:right w:val="single" w:sz="4" w:space="0" w:color="7F7F7F" w:themeColor="text1" w:themeTint="80"/>
            </w:tcBorders>
          </w:tcPr>
          <w:p w14:paraId="629494B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.241</w:t>
            </w:r>
          </w:p>
        </w:tc>
        <w:tc>
          <w:tcPr>
            <w:tcW w:w="0" w:type="auto"/>
            <w:tcBorders>
              <w:left w:val="single" w:sz="4" w:space="0" w:color="7F7F7F" w:themeColor="text1" w:themeTint="80"/>
              <w:right w:val="single" w:sz="4" w:space="0" w:color="7F7F7F" w:themeColor="text1" w:themeTint="80"/>
            </w:tcBorders>
          </w:tcPr>
          <w:p w14:paraId="791A1F8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.648</w:t>
            </w:r>
          </w:p>
        </w:tc>
        <w:tc>
          <w:tcPr>
            <w:tcW w:w="0" w:type="auto"/>
            <w:tcBorders>
              <w:left w:val="single" w:sz="4" w:space="0" w:color="7F7F7F" w:themeColor="text1" w:themeTint="80"/>
              <w:right w:val="single" w:sz="4" w:space="0" w:color="7F7F7F" w:themeColor="text1" w:themeTint="80"/>
            </w:tcBorders>
          </w:tcPr>
          <w:p w14:paraId="7A3838D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.323</w:t>
            </w:r>
          </w:p>
        </w:tc>
        <w:tc>
          <w:tcPr>
            <w:tcW w:w="0" w:type="auto"/>
            <w:tcBorders>
              <w:left w:val="single" w:sz="4" w:space="0" w:color="7F7F7F" w:themeColor="text1" w:themeTint="80"/>
              <w:right w:val="single" w:sz="4" w:space="0" w:color="7F7F7F" w:themeColor="text1" w:themeTint="80"/>
            </w:tcBorders>
          </w:tcPr>
          <w:p w14:paraId="59EA406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.127</w:t>
            </w:r>
          </w:p>
        </w:tc>
        <w:tc>
          <w:tcPr>
            <w:tcW w:w="0" w:type="auto"/>
            <w:tcBorders>
              <w:left w:val="single" w:sz="4" w:space="0" w:color="7F7F7F" w:themeColor="text1" w:themeTint="80"/>
              <w:right w:val="single" w:sz="4" w:space="0" w:color="7F7F7F" w:themeColor="text1" w:themeTint="80"/>
            </w:tcBorders>
          </w:tcPr>
          <w:p w14:paraId="0AB5088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.118</w:t>
            </w:r>
          </w:p>
        </w:tc>
      </w:tr>
      <w:tr w:rsidR="00E24494" w:rsidRPr="009348DB" w14:paraId="1D2A2885"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666B88"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feel a connection to my Android phone as a brand</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83D8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9D97A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CF7DE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1E66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43BDD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D5EE7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.207</w:t>
            </w:r>
          </w:p>
        </w:tc>
      </w:tr>
      <w:tr w:rsidR="00E24494" w:rsidRPr="009348DB" w14:paraId="7D733C3D"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5612F4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My Android phones have an attractive design.</w:t>
            </w:r>
          </w:p>
        </w:tc>
        <w:tc>
          <w:tcPr>
            <w:tcW w:w="0" w:type="auto"/>
            <w:tcBorders>
              <w:left w:val="single" w:sz="4" w:space="0" w:color="7F7F7F" w:themeColor="text1" w:themeTint="80"/>
              <w:right w:val="single" w:sz="4" w:space="0" w:color="7F7F7F" w:themeColor="text1" w:themeTint="80"/>
            </w:tcBorders>
          </w:tcPr>
          <w:p w14:paraId="2C5EF8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.323</w:t>
            </w:r>
          </w:p>
        </w:tc>
        <w:tc>
          <w:tcPr>
            <w:tcW w:w="0" w:type="auto"/>
            <w:tcBorders>
              <w:left w:val="single" w:sz="4" w:space="0" w:color="7F7F7F" w:themeColor="text1" w:themeTint="80"/>
              <w:right w:val="single" w:sz="4" w:space="0" w:color="7F7F7F" w:themeColor="text1" w:themeTint="80"/>
            </w:tcBorders>
          </w:tcPr>
          <w:p w14:paraId="52826E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.127</w:t>
            </w:r>
          </w:p>
        </w:tc>
        <w:tc>
          <w:tcPr>
            <w:tcW w:w="0" w:type="auto"/>
            <w:tcBorders>
              <w:left w:val="single" w:sz="4" w:space="0" w:color="7F7F7F" w:themeColor="text1" w:themeTint="80"/>
              <w:right w:val="single" w:sz="4" w:space="0" w:color="7F7F7F" w:themeColor="text1" w:themeTint="80"/>
            </w:tcBorders>
          </w:tcPr>
          <w:p w14:paraId="70D0633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.332</w:t>
            </w:r>
          </w:p>
        </w:tc>
        <w:tc>
          <w:tcPr>
            <w:tcW w:w="0" w:type="auto"/>
            <w:tcBorders>
              <w:left w:val="single" w:sz="4" w:space="0" w:color="7F7F7F" w:themeColor="text1" w:themeTint="80"/>
              <w:right w:val="single" w:sz="4" w:space="0" w:color="7F7F7F" w:themeColor="text1" w:themeTint="80"/>
            </w:tcBorders>
          </w:tcPr>
          <w:p w14:paraId="057BEE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.730</w:t>
            </w:r>
          </w:p>
        </w:tc>
        <w:tc>
          <w:tcPr>
            <w:tcW w:w="0" w:type="auto"/>
            <w:tcBorders>
              <w:left w:val="single" w:sz="4" w:space="0" w:color="7F7F7F" w:themeColor="text1" w:themeTint="80"/>
              <w:right w:val="single" w:sz="4" w:space="0" w:color="7F7F7F" w:themeColor="text1" w:themeTint="80"/>
            </w:tcBorders>
          </w:tcPr>
          <w:p w14:paraId="7E701E6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.165</w:t>
            </w:r>
          </w:p>
        </w:tc>
        <w:tc>
          <w:tcPr>
            <w:tcW w:w="0" w:type="auto"/>
            <w:tcBorders>
              <w:left w:val="single" w:sz="4" w:space="0" w:color="7F7F7F" w:themeColor="text1" w:themeTint="80"/>
              <w:right w:val="single" w:sz="4" w:space="0" w:color="7F7F7F" w:themeColor="text1" w:themeTint="80"/>
            </w:tcBorders>
          </w:tcPr>
          <w:p w14:paraId="2E4A8F9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.218</w:t>
            </w:r>
          </w:p>
        </w:tc>
      </w:tr>
      <w:tr w:rsidR="00E24494" w:rsidRPr="009348DB" w14:paraId="132E7769"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DAECB1"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My Android phones look modern and stylish</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B717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1E69F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D50F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B75C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.712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75A76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A4E69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.082</w:t>
            </w:r>
          </w:p>
        </w:tc>
      </w:tr>
      <w:tr w:rsidR="00E24494" w:rsidRPr="009348DB" w14:paraId="519C0899"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8A7C118"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My Android phones feel comfortable and user-friendly</w:t>
            </w:r>
          </w:p>
        </w:tc>
        <w:tc>
          <w:tcPr>
            <w:tcW w:w="0" w:type="auto"/>
            <w:tcBorders>
              <w:left w:val="single" w:sz="4" w:space="0" w:color="7F7F7F" w:themeColor="text1" w:themeTint="80"/>
              <w:right w:val="single" w:sz="4" w:space="0" w:color="7F7F7F" w:themeColor="text1" w:themeTint="80"/>
            </w:tcBorders>
          </w:tcPr>
          <w:p w14:paraId="56A7C0A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0" w:type="auto"/>
            <w:tcBorders>
              <w:left w:val="single" w:sz="4" w:space="0" w:color="7F7F7F" w:themeColor="text1" w:themeTint="80"/>
              <w:right w:val="single" w:sz="4" w:space="0" w:color="7F7F7F" w:themeColor="text1" w:themeTint="80"/>
            </w:tcBorders>
          </w:tcPr>
          <w:p w14:paraId="7C95FE0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.146</w:t>
            </w:r>
          </w:p>
        </w:tc>
        <w:tc>
          <w:tcPr>
            <w:tcW w:w="0" w:type="auto"/>
            <w:tcBorders>
              <w:left w:val="single" w:sz="4" w:space="0" w:color="7F7F7F" w:themeColor="text1" w:themeTint="80"/>
              <w:right w:val="single" w:sz="4" w:space="0" w:color="7F7F7F" w:themeColor="text1" w:themeTint="80"/>
            </w:tcBorders>
          </w:tcPr>
          <w:p w14:paraId="2140854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.411</w:t>
            </w:r>
          </w:p>
        </w:tc>
        <w:tc>
          <w:tcPr>
            <w:tcW w:w="0" w:type="auto"/>
            <w:tcBorders>
              <w:left w:val="single" w:sz="4" w:space="0" w:color="7F7F7F" w:themeColor="text1" w:themeTint="80"/>
              <w:right w:val="single" w:sz="4" w:space="0" w:color="7F7F7F" w:themeColor="text1" w:themeTint="80"/>
            </w:tcBorders>
          </w:tcPr>
          <w:p w14:paraId="4345CA2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.491</w:t>
            </w:r>
          </w:p>
        </w:tc>
        <w:tc>
          <w:tcPr>
            <w:tcW w:w="0" w:type="auto"/>
            <w:tcBorders>
              <w:left w:val="single" w:sz="4" w:space="0" w:color="7F7F7F" w:themeColor="text1" w:themeTint="80"/>
              <w:right w:val="single" w:sz="4" w:space="0" w:color="7F7F7F" w:themeColor="text1" w:themeTint="80"/>
            </w:tcBorders>
          </w:tcPr>
          <w:p w14:paraId="6768764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.182</w:t>
            </w:r>
          </w:p>
        </w:tc>
        <w:tc>
          <w:tcPr>
            <w:tcW w:w="0" w:type="auto"/>
            <w:tcBorders>
              <w:left w:val="single" w:sz="4" w:space="0" w:color="7F7F7F" w:themeColor="text1" w:themeTint="80"/>
              <w:right w:val="single" w:sz="4" w:space="0" w:color="7F7F7F" w:themeColor="text1" w:themeTint="80"/>
            </w:tcBorders>
          </w:tcPr>
          <w:p w14:paraId="2D8E92A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.188</w:t>
            </w:r>
          </w:p>
        </w:tc>
      </w:tr>
      <w:tr w:rsidR="00E24494" w:rsidRPr="009348DB" w14:paraId="7EB387CD"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02B4D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The design of my Android phones meets my aesthetic preferences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DF8A9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D4CC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.389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C1975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D68C7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D67D4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8FF4E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.113</w:t>
            </w:r>
          </w:p>
        </w:tc>
      </w:tr>
      <w:tr w:rsidR="00E24494" w:rsidRPr="009348DB" w14:paraId="1BD351E7"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486DB8A9"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S: I am satisfied with my Android phone warranty and repair policies.</w:t>
            </w:r>
          </w:p>
        </w:tc>
        <w:tc>
          <w:tcPr>
            <w:tcW w:w="0" w:type="auto"/>
            <w:tcBorders>
              <w:left w:val="single" w:sz="4" w:space="0" w:color="7F7F7F" w:themeColor="text1" w:themeTint="80"/>
              <w:right w:val="single" w:sz="4" w:space="0" w:color="7F7F7F" w:themeColor="text1" w:themeTint="80"/>
            </w:tcBorders>
          </w:tcPr>
          <w:p w14:paraId="345208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.315</w:t>
            </w:r>
          </w:p>
        </w:tc>
        <w:tc>
          <w:tcPr>
            <w:tcW w:w="0" w:type="auto"/>
            <w:tcBorders>
              <w:left w:val="single" w:sz="4" w:space="0" w:color="7F7F7F" w:themeColor="text1" w:themeTint="80"/>
              <w:right w:val="single" w:sz="4" w:space="0" w:color="7F7F7F" w:themeColor="text1" w:themeTint="80"/>
            </w:tcBorders>
          </w:tcPr>
          <w:p w14:paraId="4A1E1AC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.178</w:t>
            </w:r>
          </w:p>
        </w:tc>
        <w:tc>
          <w:tcPr>
            <w:tcW w:w="0" w:type="auto"/>
            <w:tcBorders>
              <w:left w:val="single" w:sz="4" w:space="0" w:color="7F7F7F" w:themeColor="text1" w:themeTint="80"/>
              <w:right w:val="single" w:sz="4" w:space="0" w:color="7F7F7F" w:themeColor="text1" w:themeTint="80"/>
            </w:tcBorders>
          </w:tcPr>
          <w:p w14:paraId="7FF628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.271</w:t>
            </w:r>
          </w:p>
        </w:tc>
        <w:tc>
          <w:tcPr>
            <w:tcW w:w="0" w:type="auto"/>
            <w:tcBorders>
              <w:left w:val="single" w:sz="4" w:space="0" w:color="7F7F7F" w:themeColor="text1" w:themeTint="80"/>
              <w:right w:val="single" w:sz="4" w:space="0" w:color="7F7F7F" w:themeColor="text1" w:themeTint="80"/>
            </w:tcBorders>
          </w:tcPr>
          <w:p w14:paraId="216FFE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.204</w:t>
            </w:r>
          </w:p>
        </w:tc>
        <w:tc>
          <w:tcPr>
            <w:tcW w:w="0" w:type="auto"/>
            <w:tcBorders>
              <w:left w:val="single" w:sz="4" w:space="0" w:color="7F7F7F" w:themeColor="text1" w:themeTint="80"/>
              <w:right w:val="single" w:sz="4" w:space="0" w:color="7F7F7F" w:themeColor="text1" w:themeTint="80"/>
            </w:tcBorders>
          </w:tcPr>
          <w:p w14:paraId="608ABCE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.760</w:t>
            </w:r>
          </w:p>
        </w:tc>
        <w:tc>
          <w:tcPr>
            <w:tcW w:w="0" w:type="auto"/>
            <w:tcBorders>
              <w:left w:val="single" w:sz="4" w:space="0" w:color="7F7F7F" w:themeColor="text1" w:themeTint="80"/>
              <w:right w:val="single" w:sz="4" w:space="0" w:color="7F7F7F" w:themeColor="text1" w:themeTint="80"/>
            </w:tcBorders>
          </w:tcPr>
          <w:p w14:paraId="457E5D6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.241</w:t>
            </w:r>
          </w:p>
        </w:tc>
      </w:tr>
      <w:tr w:rsidR="00E24494" w:rsidRPr="009348DB" w14:paraId="7F8F4D77"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F9D7F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S: My Android phone is responsive to my questions and concerns.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DE2E4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A1A7E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.375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B2B0B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3242F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4083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.738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05A4C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.054</w:t>
            </w:r>
          </w:p>
        </w:tc>
      </w:tr>
      <w:tr w:rsidR="00E24494" w:rsidRPr="009348DB" w14:paraId="29194F1A"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379BD314"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S: My Android phone provides reliable customer service</w:t>
            </w:r>
          </w:p>
        </w:tc>
        <w:tc>
          <w:tcPr>
            <w:tcW w:w="0" w:type="auto"/>
            <w:tcBorders>
              <w:left w:val="single" w:sz="4" w:space="0" w:color="7F7F7F" w:themeColor="text1" w:themeTint="80"/>
              <w:right w:val="single" w:sz="4" w:space="0" w:color="7F7F7F" w:themeColor="text1" w:themeTint="80"/>
            </w:tcBorders>
          </w:tcPr>
          <w:p w14:paraId="6FFD820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.331</w:t>
            </w:r>
          </w:p>
        </w:tc>
        <w:tc>
          <w:tcPr>
            <w:tcW w:w="0" w:type="auto"/>
            <w:tcBorders>
              <w:left w:val="single" w:sz="4" w:space="0" w:color="7F7F7F" w:themeColor="text1" w:themeTint="80"/>
              <w:right w:val="single" w:sz="4" w:space="0" w:color="7F7F7F" w:themeColor="text1" w:themeTint="80"/>
            </w:tcBorders>
          </w:tcPr>
          <w:p w14:paraId="6B731A1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.321</w:t>
            </w:r>
          </w:p>
        </w:tc>
        <w:tc>
          <w:tcPr>
            <w:tcW w:w="0" w:type="auto"/>
            <w:tcBorders>
              <w:left w:val="single" w:sz="4" w:space="0" w:color="7F7F7F" w:themeColor="text1" w:themeTint="80"/>
              <w:right w:val="single" w:sz="4" w:space="0" w:color="7F7F7F" w:themeColor="text1" w:themeTint="80"/>
            </w:tcBorders>
          </w:tcPr>
          <w:p w14:paraId="39BDD23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.355</w:t>
            </w:r>
          </w:p>
        </w:tc>
        <w:tc>
          <w:tcPr>
            <w:tcW w:w="0" w:type="auto"/>
            <w:tcBorders>
              <w:left w:val="single" w:sz="4" w:space="0" w:color="7F7F7F" w:themeColor="text1" w:themeTint="80"/>
              <w:right w:val="single" w:sz="4" w:space="0" w:color="7F7F7F" w:themeColor="text1" w:themeTint="80"/>
            </w:tcBorders>
          </w:tcPr>
          <w:p w14:paraId="4236F97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.222</w:t>
            </w:r>
          </w:p>
        </w:tc>
        <w:tc>
          <w:tcPr>
            <w:tcW w:w="0" w:type="auto"/>
            <w:tcBorders>
              <w:left w:val="single" w:sz="4" w:space="0" w:color="7F7F7F" w:themeColor="text1" w:themeTint="80"/>
              <w:right w:val="single" w:sz="4" w:space="0" w:color="7F7F7F" w:themeColor="text1" w:themeTint="80"/>
            </w:tcBorders>
          </w:tcPr>
          <w:p w14:paraId="520D813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.558</w:t>
            </w:r>
          </w:p>
        </w:tc>
        <w:tc>
          <w:tcPr>
            <w:tcW w:w="0" w:type="auto"/>
            <w:tcBorders>
              <w:left w:val="single" w:sz="4" w:space="0" w:color="7F7F7F" w:themeColor="text1" w:themeTint="80"/>
              <w:right w:val="single" w:sz="4" w:space="0" w:color="7F7F7F" w:themeColor="text1" w:themeTint="80"/>
            </w:tcBorders>
          </w:tcPr>
          <w:p w14:paraId="6B22977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.120</w:t>
            </w:r>
          </w:p>
        </w:tc>
      </w:tr>
      <w:tr w:rsidR="00E24494" w:rsidRPr="009348DB" w14:paraId="1C456DDC"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FC6BFD"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My Android phones includes modern features in its phones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C7B70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C66E6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852DF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42504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0F6A7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73746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.743</w:t>
            </w:r>
          </w:p>
        </w:tc>
      </w:tr>
      <w:tr w:rsidR="00E24494" w:rsidRPr="009348DB" w14:paraId="06BD5952"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2E944D9D"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My Android phones keep up with the latest technology trends</w:t>
            </w:r>
          </w:p>
        </w:tc>
        <w:tc>
          <w:tcPr>
            <w:tcW w:w="0" w:type="auto"/>
            <w:tcBorders>
              <w:left w:val="single" w:sz="4" w:space="0" w:color="7F7F7F" w:themeColor="text1" w:themeTint="80"/>
              <w:right w:val="single" w:sz="4" w:space="0" w:color="7F7F7F" w:themeColor="text1" w:themeTint="80"/>
            </w:tcBorders>
          </w:tcPr>
          <w:p w14:paraId="0A725E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.366</w:t>
            </w:r>
          </w:p>
        </w:tc>
        <w:tc>
          <w:tcPr>
            <w:tcW w:w="0" w:type="auto"/>
            <w:tcBorders>
              <w:left w:val="single" w:sz="4" w:space="0" w:color="7F7F7F" w:themeColor="text1" w:themeTint="80"/>
              <w:right w:val="single" w:sz="4" w:space="0" w:color="7F7F7F" w:themeColor="text1" w:themeTint="80"/>
            </w:tcBorders>
          </w:tcPr>
          <w:p w14:paraId="60AC6F8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.414</w:t>
            </w:r>
          </w:p>
        </w:tc>
        <w:tc>
          <w:tcPr>
            <w:tcW w:w="0" w:type="auto"/>
            <w:tcBorders>
              <w:left w:val="single" w:sz="4" w:space="0" w:color="7F7F7F" w:themeColor="text1" w:themeTint="80"/>
              <w:right w:val="single" w:sz="4" w:space="0" w:color="7F7F7F" w:themeColor="text1" w:themeTint="80"/>
            </w:tcBorders>
          </w:tcPr>
          <w:p w14:paraId="523ECA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.137</w:t>
            </w:r>
          </w:p>
        </w:tc>
        <w:tc>
          <w:tcPr>
            <w:tcW w:w="0" w:type="auto"/>
            <w:tcBorders>
              <w:left w:val="single" w:sz="4" w:space="0" w:color="7F7F7F" w:themeColor="text1" w:themeTint="80"/>
              <w:right w:val="single" w:sz="4" w:space="0" w:color="7F7F7F" w:themeColor="text1" w:themeTint="80"/>
            </w:tcBorders>
          </w:tcPr>
          <w:p w14:paraId="4DECAA5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.348</w:t>
            </w:r>
          </w:p>
        </w:tc>
        <w:tc>
          <w:tcPr>
            <w:tcW w:w="0" w:type="auto"/>
            <w:tcBorders>
              <w:left w:val="single" w:sz="4" w:space="0" w:color="7F7F7F" w:themeColor="text1" w:themeTint="80"/>
              <w:right w:val="single" w:sz="4" w:space="0" w:color="7F7F7F" w:themeColor="text1" w:themeTint="80"/>
            </w:tcBorders>
          </w:tcPr>
          <w:p w14:paraId="0B5054E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.210</w:t>
            </w:r>
          </w:p>
        </w:tc>
        <w:tc>
          <w:tcPr>
            <w:tcW w:w="0" w:type="auto"/>
            <w:tcBorders>
              <w:left w:val="single" w:sz="4" w:space="0" w:color="7F7F7F" w:themeColor="text1" w:themeTint="80"/>
              <w:right w:val="single" w:sz="4" w:space="0" w:color="7F7F7F" w:themeColor="text1" w:themeTint="80"/>
            </w:tcBorders>
          </w:tcPr>
          <w:p w14:paraId="23D6E9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.424</w:t>
            </w:r>
          </w:p>
        </w:tc>
      </w:tr>
    </w:tbl>
    <w:p w14:paraId="291841B5" w14:textId="77777777" w:rsidR="00E24494" w:rsidRPr="009348DB" w:rsidRDefault="00E24494">
      <w:pPr>
        <w:jc w:val="both"/>
        <w:rPr>
          <w:rFonts w:ascii="Arial" w:hAnsi="Arial" w:cs="Arial"/>
          <w:sz w:val="20"/>
          <w:szCs w:val="20"/>
        </w:rPr>
      </w:pPr>
    </w:p>
    <w:p w14:paraId="229D88F5" w14:textId="77777777" w:rsidR="00E24494" w:rsidRPr="00134506" w:rsidRDefault="002A4004">
      <w:pPr>
        <w:jc w:val="center"/>
        <w:rPr>
          <w:rFonts w:ascii="Arial" w:hAnsi="Arial" w:cs="Arial"/>
          <w:b/>
          <w:sz w:val="20"/>
          <w:szCs w:val="20"/>
        </w:rPr>
      </w:pPr>
      <w:r w:rsidRPr="00134506">
        <w:rPr>
          <w:rFonts w:ascii="Arial" w:hAnsi="Arial" w:cs="Arial"/>
          <w:b/>
          <w:sz w:val="20"/>
          <w:szCs w:val="20"/>
        </w:rPr>
        <w:t>Table 3</w:t>
      </w:r>
      <w:r w:rsidR="0096508A" w:rsidRPr="00134506">
        <w:rPr>
          <w:rFonts w:ascii="Arial" w:hAnsi="Arial" w:cs="Arial"/>
          <w:b/>
          <w:sz w:val="20"/>
          <w:szCs w:val="20"/>
        </w:rPr>
        <w:t>: Extracted factors</w:t>
      </w:r>
    </w:p>
    <w:tbl>
      <w:tblPr>
        <w:tblStyle w:val="TableGrid"/>
        <w:tblW w:w="0" w:type="auto"/>
        <w:jc w:val="center"/>
        <w:tblLook w:val="04A0" w:firstRow="1" w:lastRow="0" w:firstColumn="1" w:lastColumn="0" w:noHBand="0" w:noVBand="1"/>
      </w:tblPr>
      <w:tblGrid>
        <w:gridCol w:w="950"/>
        <w:gridCol w:w="2874"/>
      </w:tblGrid>
      <w:tr w:rsidR="00E24494" w:rsidRPr="009348DB" w14:paraId="07EEE7AB" w14:textId="77777777">
        <w:trPr>
          <w:jc w:val="center"/>
        </w:trPr>
        <w:tc>
          <w:tcPr>
            <w:tcW w:w="0" w:type="auto"/>
          </w:tcPr>
          <w:p w14:paraId="109BEE6E"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lastRenderedPageBreak/>
              <w:t>Factor 1</w:t>
            </w:r>
          </w:p>
        </w:tc>
        <w:tc>
          <w:tcPr>
            <w:tcW w:w="0" w:type="auto"/>
          </w:tcPr>
          <w:p w14:paraId="4916BA1E"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Product quality and reputation</w:t>
            </w:r>
          </w:p>
        </w:tc>
      </w:tr>
      <w:tr w:rsidR="00E24494" w:rsidRPr="009348DB" w14:paraId="73C9A0FA" w14:textId="77777777">
        <w:trPr>
          <w:jc w:val="center"/>
        </w:trPr>
        <w:tc>
          <w:tcPr>
            <w:tcW w:w="0" w:type="auto"/>
          </w:tcPr>
          <w:p w14:paraId="733A4BA2"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2</w:t>
            </w:r>
          </w:p>
        </w:tc>
        <w:tc>
          <w:tcPr>
            <w:tcW w:w="0" w:type="auto"/>
          </w:tcPr>
          <w:p w14:paraId="1E746EC1"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Competitive</w:t>
            </w:r>
          </w:p>
        </w:tc>
      </w:tr>
      <w:tr w:rsidR="00E24494" w:rsidRPr="009348DB" w14:paraId="6AC57E1C" w14:textId="77777777">
        <w:trPr>
          <w:jc w:val="center"/>
        </w:trPr>
        <w:tc>
          <w:tcPr>
            <w:tcW w:w="0" w:type="auto"/>
          </w:tcPr>
          <w:p w14:paraId="19317FDF"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3</w:t>
            </w:r>
          </w:p>
        </w:tc>
        <w:tc>
          <w:tcPr>
            <w:tcW w:w="0" w:type="auto"/>
          </w:tcPr>
          <w:p w14:paraId="1B035AF7"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Loyalty</w:t>
            </w:r>
          </w:p>
        </w:tc>
      </w:tr>
      <w:tr w:rsidR="00E24494" w:rsidRPr="009348DB" w14:paraId="7116FA13" w14:textId="77777777">
        <w:trPr>
          <w:jc w:val="center"/>
        </w:trPr>
        <w:tc>
          <w:tcPr>
            <w:tcW w:w="0" w:type="auto"/>
          </w:tcPr>
          <w:p w14:paraId="3583E3D8"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4</w:t>
            </w:r>
          </w:p>
        </w:tc>
        <w:tc>
          <w:tcPr>
            <w:tcW w:w="0" w:type="auto"/>
          </w:tcPr>
          <w:p w14:paraId="1FC8B00F"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Design</w:t>
            </w:r>
          </w:p>
        </w:tc>
      </w:tr>
      <w:tr w:rsidR="00E24494" w:rsidRPr="009348DB" w14:paraId="0D5F80C2" w14:textId="77777777">
        <w:trPr>
          <w:jc w:val="center"/>
        </w:trPr>
        <w:tc>
          <w:tcPr>
            <w:tcW w:w="0" w:type="auto"/>
          </w:tcPr>
          <w:p w14:paraId="1984A7CF"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5</w:t>
            </w:r>
          </w:p>
        </w:tc>
        <w:tc>
          <w:tcPr>
            <w:tcW w:w="0" w:type="auto"/>
          </w:tcPr>
          <w:p w14:paraId="11268240"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 xml:space="preserve">Customers service support </w:t>
            </w:r>
          </w:p>
        </w:tc>
      </w:tr>
      <w:tr w:rsidR="00E24494" w:rsidRPr="009348DB" w14:paraId="273D887D" w14:textId="77777777">
        <w:trPr>
          <w:jc w:val="center"/>
        </w:trPr>
        <w:tc>
          <w:tcPr>
            <w:tcW w:w="0" w:type="auto"/>
          </w:tcPr>
          <w:p w14:paraId="23DB4C19"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6</w:t>
            </w:r>
          </w:p>
        </w:tc>
        <w:tc>
          <w:tcPr>
            <w:tcW w:w="0" w:type="auto"/>
          </w:tcPr>
          <w:p w14:paraId="2F0328B6"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Innovation</w:t>
            </w:r>
          </w:p>
        </w:tc>
      </w:tr>
    </w:tbl>
    <w:p w14:paraId="7EA9E9FD" w14:textId="77777777" w:rsidR="00E24494" w:rsidRPr="009348DB" w:rsidRDefault="00E24494">
      <w:pPr>
        <w:autoSpaceDE w:val="0"/>
        <w:autoSpaceDN w:val="0"/>
        <w:adjustRightInd w:val="0"/>
        <w:spacing w:after="0" w:line="400" w:lineRule="atLeast"/>
        <w:rPr>
          <w:rFonts w:ascii="Arial" w:hAnsi="Arial" w:cs="Arial"/>
          <w:sz w:val="20"/>
          <w:szCs w:val="20"/>
        </w:rPr>
      </w:pPr>
    </w:p>
    <w:p w14:paraId="57829328" w14:textId="77777777" w:rsidR="002A4004" w:rsidRPr="009348DB" w:rsidRDefault="002A4004" w:rsidP="001A6429">
      <w:pPr>
        <w:pStyle w:val="NormalWeb"/>
        <w:jc w:val="both"/>
        <w:rPr>
          <w:rFonts w:ascii="Arial" w:hAnsi="Arial" w:cs="Arial"/>
          <w:sz w:val="20"/>
          <w:szCs w:val="20"/>
        </w:rPr>
      </w:pPr>
      <w:r w:rsidRPr="009348DB">
        <w:rPr>
          <w:rFonts w:ascii="Arial" w:hAnsi="Arial" w:cs="Arial"/>
          <w:sz w:val="20"/>
          <w:szCs w:val="20"/>
        </w:rPr>
        <w:t xml:space="preserve">The rotated factor matrix in Table 2 highlights six main factors shaping consumer perceptions of Android smartphones. Each factor groups together attributes that align with common themes consumers associate with brand image in the Android market. The extracted factors were listed in Table 3. These six factors explain a significant portion of the variance </w:t>
      </w:r>
      <w:r w:rsidR="001A6429" w:rsidRPr="009348DB">
        <w:rPr>
          <w:rFonts w:ascii="Arial" w:hAnsi="Arial" w:cs="Arial"/>
          <w:sz w:val="20"/>
          <w:szCs w:val="20"/>
        </w:rPr>
        <w:t xml:space="preserve">(76.26%) </w:t>
      </w:r>
      <w:r w:rsidRPr="009348DB">
        <w:rPr>
          <w:rFonts w:ascii="Arial" w:hAnsi="Arial" w:cs="Arial"/>
          <w:sz w:val="20"/>
          <w:szCs w:val="20"/>
        </w:rPr>
        <w:t>in consumer perceptions, indicating their critical role in shaping brand image and influencing purchasing decisions.</w:t>
      </w:r>
    </w:p>
    <w:p w14:paraId="4754564C" w14:textId="77777777" w:rsidR="00E24494" w:rsidRPr="009348DB" w:rsidRDefault="00E24494">
      <w:pPr>
        <w:jc w:val="both"/>
        <w:rPr>
          <w:rFonts w:ascii="Arial" w:hAnsi="Arial" w:cs="Arial"/>
          <w:sz w:val="20"/>
          <w:szCs w:val="20"/>
        </w:rPr>
      </w:pPr>
    </w:p>
    <w:p w14:paraId="097F899D" w14:textId="77777777" w:rsidR="002A4004" w:rsidRPr="009348DB" w:rsidRDefault="002A4004">
      <w:pPr>
        <w:jc w:val="both"/>
        <w:rPr>
          <w:rFonts w:ascii="Arial" w:hAnsi="Arial" w:cs="Arial"/>
          <w:sz w:val="20"/>
          <w:szCs w:val="20"/>
        </w:rPr>
      </w:pPr>
    </w:p>
    <w:p w14:paraId="7CCF0401" w14:textId="77777777" w:rsidR="00E24494" w:rsidRPr="00134506" w:rsidRDefault="001A6429" w:rsidP="00134506">
      <w:pPr>
        <w:autoSpaceDE w:val="0"/>
        <w:autoSpaceDN w:val="0"/>
        <w:adjustRightInd w:val="0"/>
        <w:spacing w:line="240" w:lineRule="auto"/>
        <w:jc w:val="center"/>
        <w:rPr>
          <w:rFonts w:ascii="Arial" w:hAnsi="Arial" w:cs="Arial"/>
          <w:b/>
          <w:sz w:val="20"/>
          <w:szCs w:val="20"/>
        </w:rPr>
      </w:pPr>
      <w:r w:rsidRPr="00134506">
        <w:rPr>
          <w:rFonts w:ascii="Arial" w:hAnsi="Arial" w:cs="Arial"/>
          <w:b/>
          <w:sz w:val="20"/>
          <w:szCs w:val="20"/>
        </w:rPr>
        <w:t>Table 4</w:t>
      </w:r>
      <w:r w:rsidR="00BD4735" w:rsidRPr="00134506">
        <w:rPr>
          <w:rFonts w:ascii="Arial" w:hAnsi="Arial" w:cs="Arial"/>
          <w:b/>
          <w:sz w:val="20"/>
          <w:szCs w:val="20"/>
        </w:rPr>
        <w:t>a</w:t>
      </w:r>
      <w:r w:rsidR="0096508A" w:rsidRPr="00134506">
        <w:rPr>
          <w:rFonts w:ascii="Arial" w:hAnsi="Arial" w:cs="Arial"/>
          <w:b/>
          <w:sz w:val="20"/>
          <w:szCs w:val="20"/>
        </w:rPr>
        <w:t>: Multinomial model of customer p</w:t>
      </w:r>
      <w:r w:rsidR="00BD4735" w:rsidRPr="00134506">
        <w:rPr>
          <w:rFonts w:ascii="Arial" w:hAnsi="Arial" w:cs="Arial"/>
          <w:b/>
          <w:sz w:val="20"/>
          <w:szCs w:val="20"/>
        </w:rPr>
        <w:t>erceptions by Samsung</w:t>
      </w:r>
    </w:p>
    <w:tbl>
      <w:tblPr>
        <w:tblStyle w:val="PlainTable21"/>
        <w:tblW w:w="0" w:type="auto"/>
        <w:jc w:val="center"/>
        <w:tblLayout w:type="fixed"/>
        <w:tblLook w:val="04A0" w:firstRow="1" w:lastRow="0" w:firstColumn="1" w:lastColumn="0" w:noHBand="0" w:noVBand="1"/>
      </w:tblPr>
      <w:tblGrid>
        <w:gridCol w:w="1255"/>
        <w:gridCol w:w="1890"/>
        <w:gridCol w:w="925"/>
        <w:gridCol w:w="1164"/>
        <w:gridCol w:w="1052"/>
        <w:gridCol w:w="513"/>
        <w:gridCol w:w="829"/>
      </w:tblGrid>
      <w:tr w:rsidR="00E24494" w:rsidRPr="009348DB" w14:paraId="5E76D989" w14:textId="77777777" w:rsidTr="00E24494">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3145" w:type="dxa"/>
            <w:gridSpan w:val="2"/>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2CD98E81" w14:textId="77777777" w:rsidR="00E24494" w:rsidRPr="009348DB" w:rsidRDefault="0096508A">
            <w:pPr>
              <w:autoSpaceDE w:val="0"/>
              <w:autoSpaceDN w:val="0"/>
              <w:adjustRightInd w:val="0"/>
              <w:spacing w:after="0" w:line="320" w:lineRule="atLeast"/>
              <w:ind w:left="60" w:right="60"/>
              <w:rPr>
                <w:rFonts w:ascii="Arial" w:hAnsi="Arial" w:cs="Arial"/>
                <w:color w:val="000000"/>
                <w:sz w:val="20"/>
                <w:szCs w:val="20"/>
              </w:rPr>
            </w:pPr>
            <w:proofErr w:type="spellStart"/>
            <w:r w:rsidRPr="009348DB">
              <w:rPr>
                <w:rFonts w:ascii="Arial" w:hAnsi="Arial" w:cs="Arial"/>
                <w:color w:val="000000"/>
                <w:sz w:val="20"/>
                <w:szCs w:val="20"/>
              </w:rPr>
              <w:t>Andriod</w:t>
            </w:r>
            <w:r w:rsidRPr="009348DB">
              <w:rPr>
                <w:rFonts w:ascii="Arial" w:hAnsi="Arial" w:cs="Arial"/>
                <w:color w:val="000000"/>
                <w:sz w:val="20"/>
                <w:szCs w:val="20"/>
                <w:vertAlign w:val="superscript"/>
              </w:rPr>
              <w:t>a</w:t>
            </w:r>
            <w:proofErr w:type="spellEnd"/>
          </w:p>
        </w:tc>
        <w:tc>
          <w:tcPr>
            <w:tcW w:w="925"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13CB352"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B</w:t>
            </w:r>
          </w:p>
        </w:tc>
        <w:tc>
          <w:tcPr>
            <w:tcW w:w="1164"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00B81D12"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Std. Error</w:t>
            </w:r>
          </w:p>
        </w:tc>
        <w:tc>
          <w:tcPr>
            <w:tcW w:w="1052"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23FEB92"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Wald</w:t>
            </w:r>
          </w:p>
        </w:tc>
        <w:tc>
          <w:tcPr>
            <w:tcW w:w="513"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593D0413"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df</w:t>
            </w:r>
          </w:p>
        </w:tc>
        <w:tc>
          <w:tcPr>
            <w:tcW w:w="829"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14D22F8C"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Sig.</w:t>
            </w:r>
          </w:p>
        </w:tc>
      </w:tr>
      <w:tr w:rsidR="00E24494" w:rsidRPr="009348DB" w14:paraId="66D68DD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3145" w:type="dxa"/>
            <w:gridSpan w:val="2"/>
            <w:vMerge/>
            <w:tcBorders>
              <w:left w:val="single" w:sz="4" w:space="0" w:color="7F7F7F" w:themeColor="text1" w:themeTint="80"/>
              <w:right w:val="single" w:sz="4" w:space="0" w:color="7F7F7F" w:themeColor="text1" w:themeTint="80"/>
            </w:tcBorders>
          </w:tcPr>
          <w:p w14:paraId="1084482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925" w:type="dxa"/>
            <w:vMerge/>
            <w:tcBorders>
              <w:left w:val="single" w:sz="4" w:space="0" w:color="7F7F7F" w:themeColor="text1" w:themeTint="80"/>
              <w:right w:val="single" w:sz="4" w:space="0" w:color="7F7F7F" w:themeColor="text1" w:themeTint="80"/>
            </w:tcBorders>
          </w:tcPr>
          <w:p w14:paraId="3DD07215"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164" w:type="dxa"/>
            <w:vMerge/>
            <w:tcBorders>
              <w:left w:val="single" w:sz="4" w:space="0" w:color="7F7F7F" w:themeColor="text1" w:themeTint="80"/>
              <w:right w:val="single" w:sz="4" w:space="0" w:color="7F7F7F" w:themeColor="text1" w:themeTint="80"/>
            </w:tcBorders>
          </w:tcPr>
          <w:p w14:paraId="00B563C7"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52" w:type="dxa"/>
            <w:vMerge/>
            <w:tcBorders>
              <w:left w:val="single" w:sz="4" w:space="0" w:color="7F7F7F" w:themeColor="text1" w:themeTint="80"/>
              <w:right w:val="single" w:sz="4" w:space="0" w:color="7F7F7F" w:themeColor="text1" w:themeTint="80"/>
            </w:tcBorders>
          </w:tcPr>
          <w:p w14:paraId="49C17C18"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13" w:type="dxa"/>
            <w:vMerge/>
            <w:tcBorders>
              <w:left w:val="single" w:sz="4" w:space="0" w:color="7F7F7F" w:themeColor="text1" w:themeTint="80"/>
              <w:right w:val="single" w:sz="4" w:space="0" w:color="7F7F7F" w:themeColor="text1" w:themeTint="80"/>
            </w:tcBorders>
          </w:tcPr>
          <w:p w14:paraId="1EC28468"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29" w:type="dxa"/>
            <w:vMerge/>
            <w:tcBorders>
              <w:left w:val="single" w:sz="4" w:space="0" w:color="7F7F7F" w:themeColor="text1" w:themeTint="80"/>
              <w:right w:val="single" w:sz="4" w:space="0" w:color="7F7F7F" w:themeColor="text1" w:themeTint="80"/>
            </w:tcBorders>
          </w:tcPr>
          <w:p w14:paraId="275E4700"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E24494" w:rsidRPr="009348DB" w14:paraId="5D16268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0C257B" w14:textId="77777777" w:rsidR="00E24494" w:rsidRPr="009348DB" w:rsidRDefault="0096508A">
            <w:pPr>
              <w:autoSpaceDE w:val="0"/>
              <w:autoSpaceDN w:val="0"/>
              <w:adjustRightInd w:val="0"/>
              <w:spacing w:after="0" w:line="320" w:lineRule="atLeast"/>
              <w:ind w:left="60" w:right="60"/>
              <w:rPr>
                <w:rFonts w:ascii="Arial" w:hAnsi="Arial" w:cs="Arial"/>
                <w:color w:val="000000"/>
                <w:sz w:val="20"/>
                <w:szCs w:val="20"/>
              </w:rPr>
            </w:pPr>
            <w:r w:rsidRPr="009348DB">
              <w:rPr>
                <w:rFonts w:ascii="Arial" w:hAnsi="Arial" w:cs="Arial"/>
                <w:color w:val="000000"/>
                <w:sz w:val="20"/>
                <w:szCs w:val="20"/>
              </w:rPr>
              <w:t>Samsung</w:t>
            </w: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06B83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Intercept</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D73D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-19.541</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611D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1.417</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A317A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190.051</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CECBB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69FCD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58D81CF3"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5D152D3"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1890" w:type="dxa"/>
            <w:tcBorders>
              <w:left w:val="single" w:sz="4" w:space="0" w:color="7F7F7F" w:themeColor="text1" w:themeTint="80"/>
              <w:right w:val="single" w:sz="4" w:space="0" w:color="7F7F7F" w:themeColor="text1" w:themeTint="80"/>
            </w:tcBorders>
          </w:tcPr>
          <w:p w14:paraId="3A634890"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Product Quality/Reputation</w:t>
            </w:r>
          </w:p>
        </w:tc>
        <w:tc>
          <w:tcPr>
            <w:tcW w:w="925" w:type="dxa"/>
            <w:tcBorders>
              <w:left w:val="single" w:sz="4" w:space="0" w:color="7F7F7F" w:themeColor="text1" w:themeTint="80"/>
              <w:right w:val="single" w:sz="4" w:space="0" w:color="7F7F7F" w:themeColor="text1" w:themeTint="80"/>
            </w:tcBorders>
          </w:tcPr>
          <w:p w14:paraId="0DE382F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.097</w:t>
            </w:r>
          </w:p>
        </w:tc>
        <w:tc>
          <w:tcPr>
            <w:tcW w:w="1164" w:type="dxa"/>
            <w:tcBorders>
              <w:left w:val="single" w:sz="4" w:space="0" w:color="7F7F7F" w:themeColor="text1" w:themeTint="80"/>
              <w:right w:val="single" w:sz="4" w:space="0" w:color="7F7F7F" w:themeColor="text1" w:themeTint="80"/>
            </w:tcBorders>
          </w:tcPr>
          <w:p w14:paraId="6C2448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.502</w:t>
            </w:r>
          </w:p>
        </w:tc>
        <w:tc>
          <w:tcPr>
            <w:tcW w:w="1052" w:type="dxa"/>
            <w:tcBorders>
              <w:left w:val="single" w:sz="4" w:space="0" w:color="7F7F7F" w:themeColor="text1" w:themeTint="80"/>
              <w:right w:val="single" w:sz="4" w:space="0" w:color="7F7F7F" w:themeColor="text1" w:themeTint="80"/>
            </w:tcBorders>
          </w:tcPr>
          <w:p w14:paraId="470F587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.037</w:t>
            </w:r>
          </w:p>
        </w:tc>
        <w:tc>
          <w:tcPr>
            <w:tcW w:w="513" w:type="dxa"/>
            <w:tcBorders>
              <w:left w:val="single" w:sz="4" w:space="0" w:color="7F7F7F" w:themeColor="text1" w:themeTint="80"/>
              <w:right w:val="single" w:sz="4" w:space="0" w:color="7F7F7F" w:themeColor="text1" w:themeTint="80"/>
            </w:tcBorders>
          </w:tcPr>
          <w:p w14:paraId="32C26E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681716F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.847</w:t>
            </w:r>
          </w:p>
        </w:tc>
      </w:tr>
      <w:tr w:rsidR="00E24494" w:rsidRPr="009348DB" w14:paraId="4FF9C0C5"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DB8AB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6572A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Competitive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EC91B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9DF40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.505</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A8121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5.771</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C9FD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03845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.016</w:t>
            </w:r>
          </w:p>
        </w:tc>
      </w:tr>
      <w:tr w:rsidR="00E24494" w:rsidRPr="009348DB" w14:paraId="3FB0F5B5"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B652F5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3D6EEE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Loyalty</w:t>
            </w:r>
          </w:p>
        </w:tc>
        <w:tc>
          <w:tcPr>
            <w:tcW w:w="925" w:type="dxa"/>
            <w:tcBorders>
              <w:left w:val="single" w:sz="4" w:space="0" w:color="7F7F7F" w:themeColor="text1" w:themeTint="80"/>
              <w:right w:val="single" w:sz="4" w:space="0" w:color="7F7F7F" w:themeColor="text1" w:themeTint="80"/>
            </w:tcBorders>
          </w:tcPr>
          <w:p w14:paraId="579818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-.277</w:t>
            </w:r>
          </w:p>
        </w:tc>
        <w:tc>
          <w:tcPr>
            <w:tcW w:w="1164" w:type="dxa"/>
            <w:tcBorders>
              <w:left w:val="single" w:sz="4" w:space="0" w:color="7F7F7F" w:themeColor="text1" w:themeTint="80"/>
              <w:right w:val="single" w:sz="4" w:space="0" w:color="7F7F7F" w:themeColor="text1" w:themeTint="80"/>
            </w:tcBorders>
          </w:tcPr>
          <w:p w14:paraId="00E6D3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.509</w:t>
            </w:r>
          </w:p>
        </w:tc>
        <w:tc>
          <w:tcPr>
            <w:tcW w:w="1052" w:type="dxa"/>
            <w:tcBorders>
              <w:left w:val="single" w:sz="4" w:space="0" w:color="7F7F7F" w:themeColor="text1" w:themeTint="80"/>
              <w:right w:val="single" w:sz="4" w:space="0" w:color="7F7F7F" w:themeColor="text1" w:themeTint="80"/>
            </w:tcBorders>
          </w:tcPr>
          <w:p w14:paraId="3258FC3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.296</w:t>
            </w:r>
          </w:p>
        </w:tc>
        <w:tc>
          <w:tcPr>
            <w:tcW w:w="513" w:type="dxa"/>
            <w:tcBorders>
              <w:left w:val="single" w:sz="4" w:space="0" w:color="7F7F7F" w:themeColor="text1" w:themeTint="80"/>
              <w:right w:val="single" w:sz="4" w:space="0" w:color="7F7F7F" w:themeColor="text1" w:themeTint="80"/>
            </w:tcBorders>
          </w:tcPr>
          <w:p w14:paraId="1AD0135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3B8385C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.586</w:t>
            </w:r>
          </w:p>
        </w:tc>
      </w:tr>
      <w:tr w:rsidR="00E24494" w:rsidRPr="009348DB" w14:paraId="66D6C0A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CEF60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C112C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Design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FA4AE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.531</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17DB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.474</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41339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1.254</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64B5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A1DE3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.263</w:t>
            </w:r>
          </w:p>
        </w:tc>
      </w:tr>
      <w:tr w:rsidR="00E24494" w:rsidRPr="009348DB" w14:paraId="550D71F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57AA2E0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6B5589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Customers service support </w:t>
            </w:r>
          </w:p>
        </w:tc>
        <w:tc>
          <w:tcPr>
            <w:tcW w:w="925" w:type="dxa"/>
            <w:tcBorders>
              <w:left w:val="single" w:sz="4" w:space="0" w:color="7F7F7F" w:themeColor="text1" w:themeTint="80"/>
              <w:right w:val="single" w:sz="4" w:space="0" w:color="7F7F7F" w:themeColor="text1" w:themeTint="80"/>
            </w:tcBorders>
          </w:tcPr>
          <w:p w14:paraId="6614E86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.300</w:t>
            </w:r>
          </w:p>
        </w:tc>
        <w:tc>
          <w:tcPr>
            <w:tcW w:w="1164" w:type="dxa"/>
            <w:tcBorders>
              <w:left w:val="single" w:sz="4" w:space="0" w:color="7F7F7F" w:themeColor="text1" w:themeTint="80"/>
              <w:right w:val="single" w:sz="4" w:space="0" w:color="7F7F7F" w:themeColor="text1" w:themeTint="80"/>
            </w:tcBorders>
          </w:tcPr>
          <w:p w14:paraId="4B24BD2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1052" w:type="dxa"/>
            <w:tcBorders>
              <w:left w:val="single" w:sz="4" w:space="0" w:color="7F7F7F" w:themeColor="text1" w:themeTint="80"/>
              <w:right w:val="single" w:sz="4" w:space="0" w:color="7F7F7F" w:themeColor="text1" w:themeTint="80"/>
            </w:tcBorders>
          </w:tcPr>
          <w:p w14:paraId="5B79D6D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.509</w:t>
            </w:r>
          </w:p>
        </w:tc>
        <w:tc>
          <w:tcPr>
            <w:tcW w:w="513" w:type="dxa"/>
            <w:tcBorders>
              <w:left w:val="single" w:sz="4" w:space="0" w:color="7F7F7F" w:themeColor="text1" w:themeTint="80"/>
              <w:right w:val="single" w:sz="4" w:space="0" w:color="7F7F7F" w:themeColor="text1" w:themeTint="80"/>
            </w:tcBorders>
          </w:tcPr>
          <w:p w14:paraId="6C34B79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3D7538B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.476</w:t>
            </w:r>
          </w:p>
        </w:tc>
      </w:tr>
      <w:tr w:rsidR="00E24494" w:rsidRPr="009348DB" w14:paraId="5345609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D9CE0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C185F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Innovation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3DEB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.727</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76631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.464</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C370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2.453</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B413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4A6D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.117</w:t>
            </w:r>
          </w:p>
        </w:tc>
      </w:tr>
      <w:tr w:rsidR="00E24494" w:rsidRPr="009348DB" w14:paraId="00C8798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2797396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6F82E9C1"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16 - 24</w:t>
            </w:r>
          </w:p>
        </w:tc>
        <w:tc>
          <w:tcPr>
            <w:tcW w:w="925" w:type="dxa"/>
            <w:tcBorders>
              <w:left w:val="single" w:sz="4" w:space="0" w:color="7F7F7F" w:themeColor="text1" w:themeTint="80"/>
              <w:right w:val="single" w:sz="4" w:space="0" w:color="7F7F7F" w:themeColor="text1" w:themeTint="80"/>
            </w:tcBorders>
          </w:tcPr>
          <w:p w14:paraId="0C4E852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.227</w:t>
            </w:r>
          </w:p>
        </w:tc>
        <w:tc>
          <w:tcPr>
            <w:tcW w:w="1164" w:type="dxa"/>
            <w:tcBorders>
              <w:left w:val="single" w:sz="4" w:space="0" w:color="7F7F7F" w:themeColor="text1" w:themeTint="80"/>
              <w:right w:val="single" w:sz="4" w:space="0" w:color="7F7F7F" w:themeColor="text1" w:themeTint="80"/>
            </w:tcBorders>
          </w:tcPr>
          <w:p w14:paraId="3B57F7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7980.246</w:t>
            </w:r>
          </w:p>
        </w:tc>
        <w:tc>
          <w:tcPr>
            <w:tcW w:w="1052" w:type="dxa"/>
            <w:tcBorders>
              <w:left w:val="single" w:sz="4" w:space="0" w:color="7F7F7F" w:themeColor="text1" w:themeTint="80"/>
              <w:right w:val="single" w:sz="4" w:space="0" w:color="7F7F7F" w:themeColor="text1" w:themeTint="80"/>
            </w:tcBorders>
          </w:tcPr>
          <w:p w14:paraId="38B0500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513" w:type="dxa"/>
            <w:tcBorders>
              <w:left w:val="single" w:sz="4" w:space="0" w:color="7F7F7F" w:themeColor="text1" w:themeTint="80"/>
              <w:right w:val="single" w:sz="4" w:space="0" w:color="7F7F7F" w:themeColor="text1" w:themeTint="80"/>
            </w:tcBorders>
          </w:tcPr>
          <w:p w14:paraId="5EFC033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5148F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1.000</w:t>
            </w:r>
          </w:p>
        </w:tc>
      </w:tr>
      <w:tr w:rsidR="00E24494" w:rsidRPr="009348DB" w14:paraId="334D8B8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EAB30B"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E36AA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7FCD8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19.776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FD1E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1.560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794F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160.625</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F80CD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11A75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2DC2F1E5"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40EE622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14376CA6"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925" w:type="dxa"/>
            <w:tcBorders>
              <w:left w:val="single" w:sz="4" w:space="0" w:color="7F7F7F" w:themeColor="text1" w:themeTint="80"/>
              <w:right w:val="single" w:sz="4" w:space="0" w:color="7F7F7F" w:themeColor="text1" w:themeTint="80"/>
            </w:tcBorders>
          </w:tcPr>
          <w:p w14:paraId="2D4FDBE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19.727</w:t>
            </w:r>
          </w:p>
        </w:tc>
        <w:tc>
          <w:tcPr>
            <w:tcW w:w="1164" w:type="dxa"/>
            <w:tcBorders>
              <w:left w:val="single" w:sz="4" w:space="0" w:color="7F7F7F" w:themeColor="text1" w:themeTint="80"/>
              <w:right w:val="single" w:sz="4" w:space="0" w:color="7F7F7F" w:themeColor="text1" w:themeTint="80"/>
            </w:tcBorders>
          </w:tcPr>
          <w:p w14:paraId="6BB4A86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1.548</w:t>
            </w:r>
          </w:p>
        </w:tc>
        <w:tc>
          <w:tcPr>
            <w:tcW w:w="1052" w:type="dxa"/>
            <w:tcBorders>
              <w:left w:val="single" w:sz="4" w:space="0" w:color="7F7F7F" w:themeColor="text1" w:themeTint="80"/>
              <w:right w:val="single" w:sz="4" w:space="0" w:color="7F7F7F" w:themeColor="text1" w:themeTint="80"/>
            </w:tcBorders>
          </w:tcPr>
          <w:p w14:paraId="0CAC5B3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162.360</w:t>
            </w:r>
          </w:p>
        </w:tc>
        <w:tc>
          <w:tcPr>
            <w:tcW w:w="513" w:type="dxa"/>
            <w:tcBorders>
              <w:left w:val="single" w:sz="4" w:space="0" w:color="7F7F7F" w:themeColor="text1" w:themeTint="80"/>
              <w:right w:val="single" w:sz="4" w:space="0" w:color="7F7F7F" w:themeColor="text1" w:themeTint="80"/>
            </w:tcBorders>
          </w:tcPr>
          <w:p w14:paraId="4B334B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9E192A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0892DB32"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C6BC0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2735B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C44DF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19.754</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39AE8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E85BD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18EE5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7BB31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491DF4AE"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04EFB79D"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7B63C4D5"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925" w:type="dxa"/>
            <w:tcBorders>
              <w:left w:val="single" w:sz="4" w:space="0" w:color="7F7F7F" w:themeColor="text1" w:themeTint="80"/>
              <w:right w:val="single" w:sz="4" w:space="0" w:color="7F7F7F" w:themeColor="text1" w:themeTint="80"/>
            </w:tcBorders>
          </w:tcPr>
          <w:p w14:paraId="3D8309D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671C5E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466180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2588DD7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0EA41DF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1C6EDD54"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40854A"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4625B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21183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1.005</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AC09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.807</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E2E06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1.550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C6C1E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08AA0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.213</w:t>
            </w:r>
          </w:p>
        </w:tc>
      </w:tr>
      <w:tr w:rsidR="00E24494" w:rsidRPr="009348DB" w14:paraId="06FFB9F2"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42DA7BF"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4689281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925" w:type="dxa"/>
            <w:tcBorders>
              <w:left w:val="single" w:sz="4" w:space="0" w:color="7F7F7F" w:themeColor="text1" w:themeTint="80"/>
              <w:right w:val="single" w:sz="4" w:space="0" w:color="7F7F7F" w:themeColor="text1" w:themeTint="80"/>
            </w:tcBorders>
          </w:tcPr>
          <w:p w14:paraId="16D510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06D452B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1A768B4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50C9F7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6F1EADD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4D1853C3"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8D2C3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E70A4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8167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-.027</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70992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1.640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B0199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D2F7C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781DB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.987</w:t>
            </w:r>
          </w:p>
        </w:tc>
      </w:tr>
      <w:tr w:rsidR="00E24494" w:rsidRPr="009348DB" w14:paraId="6CB01E5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95243B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23FCC88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925" w:type="dxa"/>
            <w:tcBorders>
              <w:left w:val="single" w:sz="4" w:space="0" w:color="7F7F7F" w:themeColor="text1" w:themeTint="80"/>
              <w:right w:val="single" w:sz="4" w:space="0" w:color="7F7F7F" w:themeColor="text1" w:themeTint="80"/>
            </w:tcBorders>
          </w:tcPr>
          <w:p w14:paraId="33A6B9D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-.418</w:t>
            </w:r>
          </w:p>
        </w:tc>
        <w:tc>
          <w:tcPr>
            <w:tcW w:w="1164" w:type="dxa"/>
            <w:tcBorders>
              <w:left w:val="single" w:sz="4" w:space="0" w:color="7F7F7F" w:themeColor="text1" w:themeTint="80"/>
              <w:right w:val="single" w:sz="4" w:space="0" w:color="7F7F7F" w:themeColor="text1" w:themeTint="80"/>
            </w:tcBorders>
          </w:tcPr>
          <w:p w14:paraId="1E34472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.915</w:t>
            </w:r>
          </w:p>
        </w:tc>
        <w:tc>
          <w:tcPr>
            <w:tcW w:w="1052" w:type="dxa"/>
            <w:tcBorders>
              <w:left w:val="single" w:sz="4" w:space="0" w:color="7F7F7F" w:themeColor="text1" w:themeTint="80"/>
              <w:right w:val="single" w:sz="4" w:space="0" w:color="7F7F7F" w:themeColor="text1" w:themeTint="80"/>
            </w:tcBorders>
          </w:tcPr>
          <w:p w14:paraId="569B233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.209</w:t>
            </w:r>
          </w:p>
        </w:tc>
        <w:tc>
          <w:tcPr>
            <w:tcW w:w="513" w:type="dxa"/>
            <w:tcBorders>
              <w:left w:val="single" w:sz="4" w:space="0" w:color="7F7F7F" w:themeColor="text1" w:themeTint="80"/>
              <w:right w:val="single" w:sz="4" w:space="0" w:color="7F7F7F" w:themeColor="text1" w:themeTint="80"/>
            </w:tcBorders>
          </w:tcPr>
          <w:p w14:paraId="18A228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1FFA9EF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.648</w:t>
            </w:r>
          </w:p>
        </w:tc>
      </w:tr>
      <w:tr w:rsidR="00E24494" w:rsidRPr="009348DB" w14:paraId="1D6BB47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8A23C3"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8AD66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5093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46ADE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8A5E7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56FC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20E13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bl>
    <w:p w14:paraId="47F83F9B" w14:textId="77777777" w:rsidR="00BD4735" w:rsidRPr="009348DB" w:rsidRDefault="00BD4735">
      <w:pPr>
        <w:rPr>
          <w:rFonts w:ascii="Arial" w:hAnsi="Arial" w:cs="Arial"/>
          <w:sz w:val="20"/>
          <w:szCs w:val="20"/>
        </w:rPr>
      </w:pPr>
    </w:p>
    <w:p w14:paraId="19AD047D" w14:textId="77777777" w:rsidR="001A6429" w:rsidRPr="009348DB" w:rsidRDefault="001A6429" w:rsidP="001A6429">
      <w:pPr>
        <w:jc w:val="both"/>
        <w:rPr>
          <w:rFonts w:ascii="Arial" w:hAnsi="Arial" w:cs="Arial"/>
          <w:sz w:val="20"/>
          <w:szCs w:val="20"/>
        </w:rPr>
      </w:pPr>
      <w:r w:rsidRPr="009348DB">
        <w:rPr>
          <w:rFonts w:ascii="Arial" w:eastAsia="Times New Roman" w:hAnsi="Arial" w:cs="Arial"/>
          <w:sz w:val="20"/>
          <w:szCs w:val="20"/>
        </w:rPr>
        <w:t>Table 4a revealed that Competitive stands out as a significant factor for Samsung android phone. It is perceived as being more competitive by users. Age groups 25 – 3</w:t>
      </w:r>
      <w:r w:rsidR="005A35DD" w:rsidRPr="009348DB">
        <w:rPr>
          <w:rFonts w:ascii="Arial" w:eastAsia="Times New Roman" w:hAnsi="Arial" w:cs="Arial"/>
          <w:sz w:val="20"/>
          <w:szCs w:val="20"/>
        </w:rPr>
        <w:t>4</w:t>
      </w:r>
      <w:r w:rsidRPr="009348DB">
        <w:rPr>
          <w:rFonts w:ascii="Arial" w:eastAsia="Times New Roman" w:hAnsi="Arial" w:cs="Arial"/>
          <w:sz w:val="20"/>
          <w:szCs w:val="20"/>
        </w:rPr>
        <w:t xml:space="preserve"> and 35 – 44 also have p-value &lt; 0.05, suggesting a strong likelihood of brand association within these age ranges.</w:t>
      </w:r>
    </w:p>
    <w:p w14:paraId="1D91E775" w14:textId="77777777" w:rsidR="001A6429" w:rsidRPr="009348DB" w:rsidRDefault="001A6429" w:rsidP="002A4004">
      <w:pPr>
        <w:jc w:val="center"/>
        <w:rPr>
          <w:rFonts w:ascii="Arial" w:hAnsi="Arial" w:cs="Arial"/>
          <w:sz w:val="20"/>
          <w:szCs w:val="20"/>
        </w:rPr>
      </w:pPr>
    </w:p>
    <w:p w14:paraId="01694840" w14:textId="77777777" w:rsidR="002A4004" w:rsidRPr="00134506" w:rsidRDefault="001A6429" w:rsidP="002A4004">
      <w:pPr>
        <w:jc w:val="center"/>
        <w:rPr>
          <w:rFonts w:ascii="Arial" w:hAnsi="Arial" w:cs="Arial"/>
          <w:b/>
          <w:sz w:val="20"/>
          <w:szCs w:val="20"/>
        </w:rPr>
      </w:pPr>
      <w:r w:rsidRPr="00134506">
        <w:rPr>
          <w:rFonts w:ascii="Arial" w:hAnsi="Arial" w:cs="Arial"/>
          <w:b/>
          <w:sz w:val="20"/>
          <w:szCs w:val="20"/>
        </w:rPr>
        <w:t>Table 4</w:t>
      </w:r>
      <w:r w:rsidR="002A4004" w:rsidRPr="00134506">
        <w:rPr>
          <w:rFonts w:ascii="Arial" w:hAnsi="Arial" w:cs="Arial"/>
          <w:b/>
          <w:sz w:val="20"/>
          <w:szCs w:val="20"/>
        </w:rPr>
        <w:t xml:space="preserve">b: Multinomial model of customer perceptions by </w:t>
      </w:r>
      <w:proofErr w:type="spellStart"/>
      <w:r w:rsidR="002A4004" w:rsidRPr="00134506">
        <w:rPr>
          <w:rFonts w:ascii="Arial" w:hAnsi="Arial" w:cs="Arial"/>
          <w:b/>
          <w:sz w:val="20"/>
          <w:szCs w:val="20"/>
        </w:rPr>
        <w:t>Tecno</w:t>
      </w:r>
      <w:proofErr w:type="spellEnd"/>
    </w:p>
    <w:tbl>
      <w:tblPr>
        <w:tblStyle w:val="PlainTable21"/>
        <w:tblW w:w="0" w:type="auto"/>
        <w:jc w:val="center"/>
        <w:tblLayout w:type="fixed"/>
        <w:tblLook w:val="04A0" w:firstRow="1" w:lastRow="0" w:firstColumn="1" w:lastColumn="0" w:noHBand="0" w:noVBand="1"/>
      </w:tblPr>
      <w:tblGrid>
        <w:gridCol w:w="1255"/>
        <w:gridCol w:w="1890"/>
        <w:gridCol w:w="925"/>
        <w:gridCol w:w="1164"/>
        <w:gridCol w:w="1052"/>
        <w:gridCol w:w="513"/>
        <w:gridCol w:w="829"/>
      </w:tblGrid>
      <w:tr w:rsidR="00E24494" w:rsidRPr="009348DB" w14:paraId="70D6053D" w14:textId="77777777" w:rsidTr="00E24494">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val="restart"/>
            <w:tcBorders>
              <w:left w:val="single" w:sz="4" w:space="0" w:color="7F7F7F" w:themeColor="text1" w:themeTint="80"/>
              <w:right w:val="single" w:sz="4" w:space="0" w:color="7F7F7F" w:themeColor="text1" w:themeTint="80"/>
            </w:tcBorders>
          </w:tcPr>
          <w:p w14:paraId="3F05836F"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Techno</w:t>
            </w:r>
          </w:p>
        </w:tc>
        <w:tc>
          <w:tcPr>
            <w:tcW w:w="1890" w:type="dxa"/>
            <w:tcBorders>
              <w:left w:val="single" w:sz="4" w:space="0" w:color="7F7F7F" w:themeColor="text1" w:themeTint="80"/>
              <w:right w:val="single" w:sz="4" w:space="0" w:color="7F7F7F" w:themeColor="text1" w:themeTint="80"/>
            </w:tcBorders>
          </w:tcPr>
          <w:p w14:paraId="51901E67" w14:textId="77777777" w:rsidR="00E24494" w:rsidRPr="009348DB" w:rsidRDefault="0096508A">
            <w:pPr>
              <w:autoSpaceDE w:val="0"/>
              <w:autoSpaceDN w:val="0"/>
              <w:adjustRightInd w:val="0"/>
              <w:spacing w:after="0" w:line="320" w:lineRule="atLeast"/>
              <w:ind w:left="60" w:right="60"/>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Intercept</w:t>
            </w:r>
          </w:p>
        </w:tc>
        <w:tc>
          <w:tcPr>
            <w:tcW w:w="925" w:type="dxa"/>
            <w:tcBorders>
              <w:left w:val="single" w:sz="4" w:space="0" w:color="7F7F7F" w:themeColor="text1" w:themeTint="80"/>
              <w:right w:val="single" w:sz="4" w:space="0" w:color="7F7F7F" w:themeColor="text1" w:themeTint="80"/>
            </w:tcBorders>
          </w:tcPr>
          <w:p w14:paraId="20EB3BFF"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1.110</w:t>
            </w:r>
          </w:p>
        </w:tc>
        <w:tc>
          <w:tcPr>
            <w:tcW w:w="1164" w:type="dxa"/>
            <w:tcBorders>
              <w:left w:val="single" w:sz="4" w:space="0" w:color="7F7F7F" w:themeColor="text1" w:themeTint="80"/>
              <w:right w:val="single" w:sz="4" w:space="0" w:color="7F7F7F" w:themeColor="text1" w:themeTint="80"/>
            </w:tcBorders>
          </w:tcPr>
          <w:p w14:paraId="7B6972A9"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1.788</w:t>
            </w:r>
          </w:p>
        </w:tc>
        <w:tc>
          <w:tcPr>
            <w:tcW w:w="1052" w:type="dxa"/>
            <w:tcBorders>
              <w:left w:val="single" w:sz="4" w:space="0" w:color="7F7F7F" w:themeColor="text1" w:themeTint="80"/>
              <w:right w:val="single" w:sz="4" w:space="0" w:color="7F7F7F" w:themeColor="text1" w:themeTint="80"/>
            </w:tcBorders>
          </w:tcPr>
          <w:p w14:paraId="1760B31C"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.385</w:t>
            </w:r>
          </w:p>
        </w:tc>
        <w:tc>
          <w:tcPr>
            <w:tcW w:w="513" w:type="dxa"/>
            <w:tcBorders>
              <w:left w:val="single" w:sz="4" w:space="0" w:color="7F7F7F" w:themeColor="text1" w:themeTint="80"/>
              <w:right w:val="single" w:sz="4" w:space="0" w:color="7F7F7F" w:themeColor="text1" w:themeTint="80"/>
            </w:tcBorders>
          </w:tcPr>
          <w:p w14:paraId="73C3FA6E"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06B562E"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.535</w:t>
            </w:r>
          </w:p>
        </w:tc>
      </w:tr>
      <w:tr w:rsidR="00E24494" w:rsidRPr="009348DB" w14:paraId="5548823C"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93EFE4"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66EC0D"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Product Quality/Reputation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7A699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.114</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32A36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B341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.071</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D7E28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1AB2C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.790</w:t>
            </w:r>
          </w:p>
        </w:tc>
      </w:tr>
      <w:tr w:rsidR="00E24494" w:rsidRPr="009348DB" w14:paraId="7FE9235E"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59B915C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2C849BC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Competitive</w:t>
            </w:r>
          </w:p>
        </w:tc>
        <w:tc>
          <w:tcPr>
            <w:tcW w:w="925" w:type="dxa"/>
            <w:tcBorders>
              <w:left w:val="single" w:sz="4" w:space="0" w:color="7F7F7F" w:themeColor="text1" w:themeTint="80"/>
              <w:right w:val="single" w:sz="4" w:space="0" w:color="7F7F7F" w:themeColor="text1" w:themeTint="80"/>
            </w:tcBorders>
          </w:tcPr>
          <w:p w14:paraId="7658F52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.265</w:t>
            </w:r>
          </w:p>
        </w:tc>
        <w:tc>
          <w:tcPr>
            <w:tcW w:w="1164" w:type="dxa"/>
            <w:tcBorders>
              <w:left w:val="single" w:sz="4" w:space="0" w:color="7F7F7F" w:themeColor="text1" w:themeTint="80"/>
              <w:right w:val="single" w:sz="4" w:space="0" w:color="7F7F7F" w:themeColor="text1" w:themeTint="80"/>
            </w:tcBorders>
          </w:tcPr>
          <w:p w14:paraId="4DC1235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.438</w:t>
            </w:r>
          </w:p>
        </w:tc>
        <w:tc>
          <w:tcPr>
            <w:tcW w:w="1052" w:type="dxa"/>
            <w:tcBorders>
              <w:left w:val="single" w:sz="4" w:space="0" w:color="7F7F7F" w:themeColor="text1" w:themeTint="80"/>
              <w:right w:val="single" w:sz="4" w:space="0" w:color="7F7F7F" w:themeColor="text1" w:themeTint="80"/>
            </w:tcBorders>
          </w:tcPr>
          <w:p w14:paraId="0576BD7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.366</w:t>
            </w:r>
          </w:p>
        </w:tc>
        <w:tc>
          <w:tcPr>
            <w:tcW w:w="513" w:type="dxa"/>
            <w:tcBorders>
              <w:left w:val="single" w:sz="4" w:space="0" w:color="7F7F7F" w:themeColor="text1" w:themeTint="80"/>
              <w:right w:val="single" w:sz="4" w:space="0" w:color="7F7F7F" w:themeColor="text1" w:themeTint="80"/>
            </w:tcBorders>
          </w:tcPr>
          <w:p w14:paraId="374F62C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7B8D89B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.545</w:t>
            </w:r>
          </w:p>
        </w:tc>
      </w:tr>
      <w:tr w:rsidR="00E24494" w:rsidRPr="009348DB" w14:paraId="663AF840"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FED0F3"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A2C13D"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Loyalty</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DBF52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-.451</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5901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.442</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ADDD1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1.042</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078C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A80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.307</w:t>
            </w:r>
          </w:p>
        </w:tc>
      </w:tr>
      <w:tr w:rsidR="00E24494" w:rsidRPr="009348DB" w14:paraId="290BE688"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F529D5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1F6A261D"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Design</w:t>
            </w:r>
          </w:p>
        </w:tc>
        <w:tc>
          <w:tcPr>
            <w:tcW w:w="925" w:type="dxa"/>
            <w:tcBorders>
              <w:left w:val="single" w:sz="4" w:space="0" w:color="7F7F7F" w:themeColor="text1" w:themeTint="80"/>
              <w:right w:val="single" w:sz="4" w:space="0" w:color="7F7F7F" w:themeColor="text1" w:themeTint="80"/>
            </w:tcBorders>
          </w:tcPr>
          <w:p w14:paraId="4644D96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.360</w:t>
            </w:r>
          </w:p>
        </w:tc>
        <w:tc>
          <w:tcPr>
            <w:tcW w:w="1164" w:type="dxa"/>
            <w:tcBorders>
              <w:left w:val="single" w:sz="4" w:space="0" w:color="7F7F7F" w:themeColor="text1" w:themeTint="80"/>
              <w:right w:val="single" w:sz="4" w:space="0" w:color="7F7F7F" w:themeColor="text1" w:themeTint="80"/>
            </w:tcBorders>
          </w:tcPr>
          <w:p w14:paraId="5A5577C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.382</w:t>
            </w:r>
          </w:p>
        </w:tc>
        <w:tc>
          <w:tcPr>
            <w:tcW w:w="1052" w:type="dxa"/>
            <w:tcBorders>
              <w:left w:val="single" w:sz="4" w:space="0" w:color="7F7F7F" w:themeColor="text1" w:themeTint="80"/>
              <w:right w:val="single" w:sz="4" w:space="0" w:color="7F7F7F" w:themeColor="text1" w:themeTint="80"/>
            </w:tcBorders>
          </w:tcPr>
          <w:p w14:paraId="1BE1A11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.885</w:t>
            </w:r>
          </w:p>
        </w:tc>
        <w:tc>
          <w:tcPr>
            <w:tcW w:w="513" w:type="dxa"/>
            <w:tcBorders>
              <w:left w:val="single" w:sz="4" w:space="0" w:color="7F7F7F" w:themeColor="text1" w:themeTint="80"/>
              <w:right w:val="single" w:sz="4" w:space="0" w:color="7F7F7F" w:themeColor="text1" w:themeTint="80"/>
            </w:tcBorders>
          </w:tcPr>
          <w:p w14:paraId="39EE540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71AC5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.347</w:t>
            </w:r>
          </w:p>
        </w:tc>
      </w:tr>
      <w:tr w:rsidR="00E24494" w:rsidRPr="009348DB" w14:paraId="38E5D2CC"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97C14D"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DF9545"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Customers service support </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6E39E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B12C5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FED28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DF10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863D2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.777</w:t>
            </w:r>
          </w:p>
        </w:tc>
      </w:tr>
      <w:tr w:rsidR="00E24494" w:rsidRPr="009348DB" w14:paraId="7B33DE02"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3D4A1B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6F4CEB54"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Innovation</w:t>
            </w:r>
          </w:p>
        </w:tc>
        <w:tc>
          <w:tcPr>
            <w:tcW w:w="925" w:type="dxa"/>
            <w:tcBorders>
              <w:left w:val="single" w:sz="4" w:space="0" w:color="7F7F7F" w:themeColor="text1" w:themeTint="80"/>
              <w:right w:val="single" w:sz="4" w:space="0" w:color="7F7F7F" w:themeColor="text1" w:themeTint="80"/>
            </w:tcBorders>
          </w:tcPr>
          <w:p w14:paraId="74ECED6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.096</w:t>
            </w:r>
          </w:p>
        </w:tc>
        <w:tc>
          <w:tcPr>
            <w:tcW w:w="1164" w:type="dxa"/>
            <w:tcBorders>
              <w:left w:val="single" w:sz="4" w:space="0" w:color="7F7F7F" w:themeColor="text1" w:themeTint="80"/>
              <w:right w:val="single" w:sz="4" w:space="0" w:color="7F7F7F" w:themeColor="text1" w:themeTint="80"/>
            </w:tcBorders>
          </w:tcPr>
          <w:p w14:paraId="405C53D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.334</w:t>
            </w:r>
          </w:p>
        </w:tc>
        <w:tc>
          <w:tcPr>
            <w:tcW w:w="1052" w:type="dxa"/>
            <w:tcBorders>
              <w:left w:val="single" w:sz="4" w:space="0" w:color="7F7F7F" w:themeColor="text1" w:themeTint="80"/>
              <w:right w:val="single" w:sz="4" w:space="0" w:color="7F7F7F" w:themeColor="text1" w:themeTint="80"/>
            </w:tcBorders>
          </w:tcPr>
          <w:p w14:paraId="310A68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.082</w:t>
            </w:r>
          </w:p>
        </w:tc>
        <w:tc>
          <w:tcPr>
            <w:tcW w:w="513" w:type="dxa"/>
            <w:tcBorders>
              <w:left w:val="single" w:sz="4" w:space="0" w:color="7F7F7F" w:themeColor="text1" w:themeTint="80"/>
              <w:right w:val="single" w:sz="4" w:space="0" w:color="7F7F7F" w:themeColor="text1" w:themeTint="80"/>
            </w:tcBorders>
          </w:tcPr>
          <w:p w14:paraId="7759E1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E2EF9D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.775</w:t>
            </w:r>
          </w:p>
        </w:tc>
      </w:tr>
      <w:tr w:rsidR="00E24494" w:rsidRPr="009348DB" w14:paraId="311BE3B3"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D8ED50"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14CFD6"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16 - 24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75F9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-.470</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026B0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1.690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D14C5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.077</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6A09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F5D5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.781</w:t>
            </w:r>
          </w:p>
        </w:tc>
      </w:tr>
      <w:tr w:rsidR="00E24494" w:rsidRPr="009348DB" w14:paraId="0DDED511"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15FB094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A9F5B3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925" w:type="dxa"/>
            <w:tcBorders>
              <w:left w:val="single" w:sz="4" w:space="0" w:color="7F7F7F" w:themeColor="text1" w:themeTint="80"/>
              <w:right w:val="single" w:sz="4" w:space="0" w:color="7F7F7F" w:themeColor="text1" w:themeTint="80"/>
            </w:tcBorders>
          </w:tcPr>
          <w:p w14:paraId="2E7BC4F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-.410</w:t>
            </w:r>
          </w:p>
        </w:tc>
        <w:tc>
          <w:tcPr>
            <w:tcW w:w="1164" w:type="dxa"/>
            <w:tcBorders>
              <w:left w:val="single" w:sz="4" w:space="0" w:color="7F7F7F" w:themeColor="text1" w:themeTint="80"/>
              <w:right w:val="single" w:sz="4" w:space="0" w:color="7F7F7F" w:themeColor="text1" w:themeTint="80"/>
            </w:tcBorders>
          </w:tcPr>
          <w:p w14:paraId="5D4126F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1.578</w:t>
            </w:r>
          </w:p>
        </w:tc>
        <w:tc>
          <w:tcPr>
            <w:tcW w:w="1052" w:type="dxa"/>
            <w:tcBorders>
              <w:left w:val="single" w:sz="4" w:space="0" w:color="7F7F7F" w:themeColor="text1" w:themeTint="80"/>
              <w:right w:val="single" w:sz="4" w:space="0" w:color="7F7F7F" w:themeColor="text1" w:themeTint="80"/>
            </w:tcBorders>
          </w:tcPr>
          <w:p w14:paraId="278040F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.068</w:t>
            </w:r>
          </w:p>
        </w:tc>
        <w:tc>
          <w:tcPr>
            <w:tcW w:w="513" w:type="dxa"/>
            <w:tcBorders>
              <w:left w:val="single" w:sz="4" w:space="0" w:color="7F7F7F" w:themeColor="text1" w:themeTint="80"/>
              <w:right w:val="single" w:sz="4" w:space="0" w:color="7F7F7F" w:themeColor="text1" w:themeTint="80"/>
            </w:tcBorders>
          </w:tcPr>
          <w:p w14:paraId="7E4869B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3B0D721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.795</w:t>
            </w:r>
          </w:p>
        </w:tc>
      </w:tr>
      <w:tr w:rsidR="00E24494" w:rsidRPr="009348DB" w14:paraId="2F05AEC7"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A0B88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D4EF1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E4EE1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8FC78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1.621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E706D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.003</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FD92A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EF43B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.958</w:t>
            </w:r>
          </w:p>
        </w:tc>
      </w:tr>
      <w:tr w:rsidR="00E24494" w:rsidRPr="009348DB" w14:paraId="095F0BF8"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080EE65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EA6FCC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925" w:type="dxa"/>
            <w:tcBorders>
              <w:left w:val="single" w:sz="4" w:space="0" w:color="7F7F7F" w:themeColor="text1" w:themeTint="80"/>
              <w:right w:val="single" w:sz="4" w:space="0" w:color="7F7F7F" w:themeColor="text1" w:themeTint="80"/>
            </w:tcBorders>
          </w:tcPr>
          <w:p w14:paraId="273C5D7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1.210</w:t>
            </w:r>
          </w:p>
        </w:tc>
        <w:tc>
          <w:tcPr>
            <w:tcW w:w="1164" w:type="dxa"/>
            <w:tcBorders>
              <w:left w:val="single" w:sz="4" w:space="0" w:color="7F7F7F" w:themeColor="text1" w:themeTint="80"/>
              <w:right w:val="single" w:sz="4" w:space="0" w:color="7F7F7F" w:themeColor="text1" w:themeTint="80"/>
            </w:tcBorders>
          </w:tcPr>
          <w:p w14:paraId="51D9C19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2.038</w:t>
            </w:r>
          </w:p>
        </w:tc>
        <w:tc>
          <w:tcPr>
            <w:tcW w:w="1052" w:type="dxa"/>
            <w:tcBorders>
              <w:left w:val="single" w:sz="4" w:space="0" w:color="7F7F7F" w:themeColor="text1" w:themeTint="80"/>
              <w:right w:val="single" w:sz="4" w:space="0" w:color="7F7F7F" w:themeColor="text1" w:themeTint="80"/>
            </w:tcBorders>
          </w:tcPr>
          <w:p w14:paraId="29E5B7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.353</w:t>
            </w:r>
          </w:p>
        </w:tc>
        <w:tc>
          <w:tcPr>
            <w:tcW w:w="513" w:type="dxa"/>
            <w:tcBorders>
              <w:left w:val="single" w:sz="4" w:space="0" w:color="7F7F7F" w:themeColor="text1" w:themeTint="80"/>
              <w:right w:val="single" w:sz="4" w:space="0" w:color="7F7F7F" w:themeColor="text1" w:themeTint="80"/>
            </w:tcBorders>
          </w:tcPr>
          <w:p w14:paraId="6CAEE9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D36C63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.553</w:t>
            </w:r>
          </w:p>
        </w:tc>
      </w:tr>
      <w:tr w:rsidR="00E24494" w:rsidRPr="009348DB" w14:paraId="330CF303"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5AD05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F813C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1C195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04896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17FED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97A65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D6231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6B017F33"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12D382D9"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74F809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925" w:type="dxa"/>
            <w:tcBorders>
              <w:left w:val="single" w:sz="4" w:space="0" w:color="7F7F7F" w:themeColor="text1" w:themeTint="80"/>
              <w:right w:val="single" w:sz="4" w:space="0" w:color="7F7F7F" w:themeColor="text1" w:themeTint="80"/>
            </w:tcBorders>
          </w:tcPr>
          <w:p w14:paraId="200619A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.761</w:t>
            </w:r>
          </w:p>
        </w:tc>
        <w:tc>
          <w:tcPr>
            <w:tcW w:w="1164" w:type="dxa"/>
            <w:tcBorders>
              <w:left w:val="single" w:sz="4" w:space="0" w:color="7F7F7F" w:themeColor="text1" w:themeTint="80"/>
              <w:right w:val="single" w:sz="4" w:space="0" w:color="7F7F7F" w:themeColor="text1" w:themeTint="80"/>
            </w:tcBorders>
          </w:tcPr>
          <w:p w14:paraId="2513A1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.731</w:t>
            </w:r>
          </w:p>
        </w:tc>
        <w:tc>
          <w:tcPr>
            <w:tcW w:w="1052" w:type="dxa"/>
            <w:tcBorders>
              <w:left w:val="single" w:sz="4" w:space="0" w:color="7F7F7F" w:themeColor="text1" w:themeTint="80"/>
              <w:right w:val="single" w:sz="4" w:space="0" w:color="7F7F7F" w:themeColor="text1" w:themeTint="80"/>
            </w:tcBorders>
          </w:tcPr>
          <w:p w14:paraId="7D1505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1.083</w:t>
            </w:r>
          </w:p>
        </w:tc>
        <w:tc>
          <w:tcPr>
            <w:tcW w:w="513" w:type="dxa"/>
            <w:tcBorders>
              <w:left w:val="single" w:sz="4" w:space="0" w:color="7F7F7F" w:themeColor="text1" w:themeTint="80"/>
              <w:right w:val="single" w:sz="4" w:space="0" w:color="7F7F7F" w:themeColor="text1" w:themeTint="80"/>
            </w:tcBorders>
          </w:tcPr>
          <w:p w14:paraId="2A8F19A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ED8B76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.298</w:t>
            </w:r>
          </w:p>
        </w:tc>
      </w:tr>
      <w:tr w:rsidR="00E24494" w:rsidRPr="009348DB" w14:paraId="048843AC"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79C6FB"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D363F9"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AF2AA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04821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0081E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836B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BD3A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545BCA30" w14:textId="77777777" w:rsidTr="00E24494">
        <w:trPr>
          <w:trHeight w:val="65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A98DBF9"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53BCC0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925" w:type="dxa"/>
            <w:tcBorders>
              <w:left w:val="single" w:sz="4" w:space="0" w:color="7F7F7F" w:themeColor="text1" w:themeTint="80"/>
              <w:right w:val="single" w:sz="4" w:space="0" w:color="7F7F7F" w:themeColor="text1" w:themeTint="80"/>
            </w:tcBorders>
          </w:tcPr>
          <w:p w14:paraId="720F0A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-1.350</w:t>
            </w:r>
          </w:p>
        </w:tc>
        <w:tc>
          <w:tcPr>
            <w:tcW w:w="1164" w:type="dxa"/>
            <w:tcBorders>
              <w:left w:val="single" w:sz="4" w:space="0" w:color="7F7F7F" w:themeColor="text1" w:themeTint="80"/>
              <w:right w:val="single" w:sz="4" w:space="0" w:color="7F7F7F" w:themeColor="text1" w:themeTint="80"/>
            </w:tcBorders>
          </w:tcPr>
          <w:p w14:paraId="46006E1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1.462</w:t>
            </w:r>
          </w:p>
        </w:tc>
        <w:tc>
          <w:tcPr>
            <w:tcW w:w="1052" w:type="dxa"/>
            <w:tcBorders>
              <w:left w:val="single" w:sz="4" w:space="0" w:color="7F7F7F" w:themeColor="text1" w:themeTint="80"/>
              <w:right w:val="single" w:sz="4" w:space="0" w:color="7F7F7F" w:themeColor="text1" w:themeTint="80"/>
            </w:tcBorders>
          </w:tcPr>
          <w:p w14:paraId="198BF6A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.853</w:t>
            </w:r>
          </w:p>
        </w:tc>
        <w:tc>
          <w:tcPr>
            <w:tcW w:w="513" w:type="dxa"/>
            <w:tcBorders>
              <w:left w:val="single" w:sz="4" w:space="0" w:color="7F7F7F" w:themeColor="text1" w:themeTint="80"/>
              <w:right w:val="single" w:sz="4" w:space="0" w:color="7F7F7F" w:themeColor="text1" w:themeTint="80"/>
            </w:tcBorders>
          </w:tcPr>
          <w:p w14:paraId="2982CC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19E07E5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.356</w:t>
            </w:r>
          </w:p>
        </w:tc>
      </w:tr>
      <w:tr w:rsidR="00E24494" w:rsidRPr="009348DB" w14:paraId="1FE48A84" w14:textId="77777777" w:rsidTr="00E24494">
        <w:trPr>
          <w:trHeight w:val="671"/>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68739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26839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93837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-.647</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2627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.833</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B3C1A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.602</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1937E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B81714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.438</w:t>
            </w:r>
          </w:p>
        </w:tc>
      </w:tr>
      <w:tr w:rsidR="00E24494" w:rsidRPr="009348DB" w14:paraId="3D314A24" w14:textId="77777777" w:rsidTr="00E24494">
        <w:trPr>
          <w:trHeight w:val="65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1DA2A0E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030290B0"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925" w:type="dxa"/>
            <w:tcBorders>
              <w:left w:val="single" w:sz="4" w:space="0" w:color="7F7F7F" w:themeColor="text1" w:themeTint="80"/>
              <w:right w:val="single" w:sz="4" w:space="0" w:color="7F7F7F" w:themeColor="text1" w:themeTint="80"/>
            </w:tcBorders>
          </w:tcPr>
          <w:p w14:paraId="1475653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76B8A81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2514E1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2D1AF9D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7EEF4B8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bl>
    <w:p w14:paraId="26F627AA" w14:textId="77777777" w:rsidR="00BD4735" w:rsidRPr="009348DB" w:rsidRDefault="00BD4735">
      <w:pPr>
        <w:rPr>
          <w:rFonts w:ascii="Arial" w:hAnsi="Arial" w:cs="Arial"/>
          <w:sz w:val="20"/>
          <w:szCs w:val="20"/>
        </w:rPr>
      </w:pPr>
    </w:p>
    <w:p w14:paraId="4C5C5D67" w14:textId="77777777" w:rsidR="001A6429" w:rsidRPr="009348DB" w:rsidRDefault="001A6429">
      <w:pPr>
        <w:rPr>
          <w:rFonts w:ascii="Arial" w:eastAsia="Times New Roman" w:hAnsi="Arial" w:cs="Arial"/>
          <w:sz w:val="20"/>
          <w:szCs w:val="20"/>
        </w:rPr>
      </w:pPr>
      <w:r w:rsidRPr="009348DB">
        <w:rPr>
          <w:rFonts w:ascii="Arial" w:eastAsia="Times New Roman" w:hAnsi="Arial" w:cs="Arial"/>
          <w:sz w:val="20"/>
          <w:szCs w:val="20"/>
        </w:rPr>
        <w:t xml:space="preserve">Table 4b revealed No factors are statistically significant for </w:t>
      </w:r>
      <w:proofErr w:type="spellStart"/>
      <w:r w:rsidRPr="009348DB">
        <w:rPr>
          <w:rFonts w:ascii="Arial" w:eastAsia="Times New Roman" w:hAnsi="Arial" w:cs="Arial"/>
          <w:sz w:val="20"/>
          <w:szCs w:val="20"/>
        </w:rPr>
        <w:t>Tecno</w:t>
      </w:r>
      <w:proofErr w:type="spellEnd"/>
      <w:r w:rsidRPr="009348DB">
        <w:rPr>
          <w:rFonts w:ascii="Arial" w:eastAsia="Times New Roman" w:hAnsi="Arial" w:cs="Arial"/>
          <w:sz w:val="20"/>
          <w:szCs w:val="20"/>
        </w:rPr>
        <w:t xml:space="preserve"> at p-value &lt; 0.05, this implies relatively neutral perception across the attributes.</w:t>
      </w:r>
    </w:p>
    <w:p w14:paraId="0E781E8C" w14:textId="77777777" w:rsidR="001A6429" w:rsidRPr="009348DB" w:rsidRDefault="001A6429">
      <w:pPr>
        <w:rPr>
          <w:rFonts w:ascii="Arial" w:hAnsi="Arial" w:cs="Arial"/>
          <w:sz w:val="20"/>
          <w:szCs w:val="20"/>
        </w:rPr>
      </w:pPr>
    </w:p>
    <w:p w14:paraId="3138AA71" w14:textId="77777777" w:rsidR="002A4004" w:rsidRPr="00134506" w:rsidRDefault="001A6429" w:rsidP="002A4004">
      <w:pPr>
        <w:jc w:val="center"/>
        <w:rPr>
          <w:rFonts w:ascii="Arial" w:hAnsi="Arial" w:cs="Arial"/>
          <w:b/>
          <w:sz w:val="20"/>
          <w:szCs w:val="20"/>
        </w:rPr>
      </w:pPr>
      <w:r w:rsidRPr="00134506">
        <w:rPr>
          <w:rFonts w:ascii="Arial" w:hAnsi="Arial" w:cs="Arial"/>
          <w:b/>
          <w:sz w:val="20"/>
          <w:szCs w:val="20"/>
        </w:rPr>
        <w:lastRenderedPageBreak/>
        <w:t>Table 4</w:t>
      </w:r>
      <w:r w:rsidR="002A4004" w:rsidRPr="00134506">
        <w:rPr>
          <w:rFonts w:ascii="Arial" w:hAnsi="Arial" w:cs="Arial"/>
          <w:b/>
          <w:sz w:val="20"/>
          <w:szCs w:val="20"/>
        </w:rPr>
        <w:t xml:space="preserve">c: Multinomial model of customer perceptions by </w:t>
      </w:r>
      <w:proofErr w:type="spellStart"/>
      <w:r w:rsidR="002A4004" w:rsidRPr="00134506">
        <w:rPr>
          <w:rFonts w:ascii="Arial" w:hAnsi="Arial" w:cs="Arial"/>
          <w:b/>
          <w:sz w:val="20"/>
          <w:szCs w:val="20"/>
        </w:rPr>
        <w:t>Infinix</w:t>
      </w:r>
      <w:proofErr w:type="spellEnd"/>
    </w:p>
    <w:tbl>
      <w:tblPr>
        <w:tblStyle w:val="PlainTable21"/>
        <w:tblW w:w="0" w:type="auto"/>
        <w:jc w:val="center"/>
        <w:tblLayout w:type="fixed"/>
        <w:tblLook w:val="04A0" w:firstRow="1" w:lastRow="0" w:firstColumn="1" w:lastColumn="0" w:noHBand="0" w:noVBand="1"/>
      </w:tblPr>
      <w:tblGrid>
        <w:gridCol w:w="1255"/>
        <w:gridCol w:w="1890"/>
        <w:gridCol w:w="925"/>
        <w:gridCol w:w="1164"/>
        <w:gridCol w:w="1052"/>
        <w:gridCol w:w="513"/>
        <w:gridCol w:w="829"/>
      </w:tblGrid>
      <w:tr w:rsidR="00E24494" w:rsidRPr="009348DB" w14:paraId="1D01D6C3" w14:textId="77777777" w:rsidTr="00E24494">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65EF72C3"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proofErr w:type="spellStart"/>
            <w:r w:rsidRPr="00134506">
              <w:rPr>
                <w:rFonts w:ascii="Arial" w:hAnsi="Arial" w:cs="Arial"/>
                <w:b w:val="0"/>
                <w:color w:val="000000"/>
                <w:sz w:val="20"/>
                <w:szCs w:val="20"/>
              </w:rPr>
              <w:t>Infinix</w:t>
            </w:r>
            <w:proofErr w:type="spellEnd"/>
          </w:p>
        </w:tc>
        <w:tc>
          <w:tcPr>
            <w:tcW w:w="1890" w:type="dxa"/>
            <w:tcBorders>
              <w:top w:val="single" w:sz="4" w:space="0" w:color="7F7F7F" w:themeColor="text1" w:themeTint="80"/>
              <w:left w:val="single" w:sz="4" w:space="0" w:color="7F7F7F" w:themeColor="text1" w:themeTint="80"/>
              <w:right w:val="single" w:sz="4" w:space="0" w:color="7F7F7F" w:themeColor="text1" w:themeTint="80"/>
            </w:tcBorders>
          </w:tcPr>
          <w:p w14:paraId="2E128825" w14:textId="77777777" w:rsidR="00E24494" w:rsidRPr="009348DB" w:rsidRDefault="0096508A">
            <w:pPr>
              <w:autoSpaceDE w:val="0"/>
              <w:autoSpaceDN w:val="0"/>
              <w:adjustRightInd w:val="0"/>
              <w:spacing w:after="0" w:line="320" w:lineRule="atLeast"/>
              <w:ind w:left="60" w:right="60"/>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Intercept</w:t>
            </w:r>
          </w:p>
        </w:tc>
        <w:tc>
          <w:tcPr>
            <w:tcW w:w="925" w:type="dxa"/>
            <w:tcBorders>
              <w:top w:val="single" w:sz="4" w:space="0" w:color="7F7F7F" w:themeColor="text1" w:themeTint="80"/>
              <w:left w:val="single" w:sz="4" w:space="0" w:color="7F7F7F" w:themeColor="text1" w:themeTint="80"/>
              <w:right w:val="single" w:sz="4" w:space="0" w:color="7F7F7F" w:themeColor="text1" w:themeTint="80"/>
            </w:tcBorders>
          </w:tcPr>
          <w:p w14:paraId="17FDBD19"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-19.778</w:t>
            </w:r>
          </w:p>
        </w:tc>
        <w:tc>
          <w:tcPr>
            <w:tcW w:w="1164" w:type="dxa"/>
            <w:tcBorders>
              <w:top w:val="single" w:sz="4" w:space="0" w:color="7F7F7F" w:themeColor="text1" w:themeTint="80"/>
              <w:left w:val="single" w:sz="4" w:space="0" w:color="7F7F7F" w:themeColor="text1" w:themeTint="80"/>
              <w:right w:val="single" w:sz="4" w:space="0" w:color="7F7F7F" w:themeColor="text1" w:themeTint="80"/>
            </w:tcBorders>
          </w:tcPr>
          <w:p w14:paraId="7C4C30C2"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1.463</w:t>
            </w:r>
          </w:p>
        </w:tc>
        <w:tc>
          <w:tcPr>
            <w:tcW w:w="1052" w:type="dxa"/>
            <w:tcBorders>
              <w:top w:val="single" w:sz="4" w:space="0" w:color="7F7F7F" w:themeColor="text1" w:themeTint="80"/>
              <w:left w:val="single" w:sz="4" w:space="0" w:color="7F7F7F" w:themeColor="text1" w:themeTint="80"/>
              <w:right w:val="single" w:sz="4" w:space="0" w:color="7F7F7F" w:themeColor="text1" w:themeTint="80"/>
            </w:tcBorders>
          </w:tcPr>
          <w:p w14:paraId="11F78A06"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182.751</w:t>
            </w:r>
          </w:p>
        </w:tc>
        <w:tc>
          <w:tcPr>
            <w:tcW w:w="513" w:type="dxa"/>
            <w:tcBorders>
              <w:top w:val="single" w:sz="4" w:space="0" w:color="7F7F7F" w:themeColor="text1" w:themeTint="80"/>
              <w:left w:val="single" w:sz="4" w:space="0" w:color="7F7F7F" w:themeColor="text1" w:themeTint="80"/>
              <w:right w:val="single" w:sz="4" w:space="0" w:color="7F7F7F" w:themeColor="text1" w:themeTint="80"/>
            </w:tcBorders>
          </w:tcPr>
          <w:p w14:paraId="6076D248"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right w:val="single" w:sz="4" w:space="0" w:color="7F7F7F" w:themeColor="text1" w:themeTint="80"/>
            </w:tcBorders>
          </w:tcPr>
          <w:p w14:paraId="496E06A5"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62FE4A06" w14:textId="77777777" w:rsidTr="00E24494">
        <w:trPr>
          <w:trHeight w:val="361"/>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A98C31D"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1890" w:type="dxa"/>
            <w:tcBorders>
              <w:left w:val="single" w:sz="4" w:space="0" w:color="7F7F7F" w:themeColor="text1" w:themeTint="80"/>
              <w:right w:val="single" w:sz="4" w:space="0" w:color="7F7F7F" w:themeColor="text1" w:themeTint="80"/>
            </w:tcBorders>
          </w:tcPr>
          <w:p w14:paraId="01822C4B"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Product Quality/Reputation</w:t>
            </w:r>
          </w:p>
        </w:tc>
        <w:tc>
          <w:tcPr>
            <w:tcW w:w="925" w:type="dxa"/>
            <w:tcBorders>
              <w:left w:val="single" w:sz="4" w:space="0" w:color="7F7F7F" w:themeColor="text1" w:themeTint="80"/>
              <w:right w:val="single" w:sz="4" w:space="0" w:color="7F7F7F" w:themeColor="text1" w:themeTint="80"/>
            </w:tcBorders>
          </w:tcPr>
          <w:p w14:paraId="79E9FD4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-.085</w:t>
            </w:r>
          </w:p>
        </w:tc>
        <w:tc>
          <w:tcPr>
            <w:tcW w:w="1164" w:type="dxa"/>
            <w:tcBorders>
              <w:left w:val="single" w:sz="4" w:space="0" w:color="7F7F7F" w:themeColor="text1" w:themeTint="80"/>
              <w:right w:val="single" w:sz="4" w:space="0" w:color="7F7F7F" w:themeColor="text1" w:themeTint="80"/>
            </w:tcBorders>
          </w:tcPr>
          <w:p w14:paraId="20A68A4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.481</w:t>
            </w:r>
          </w:p>
        </w:tc>
        <w:tc>
          <w:tcPr>
            <w:tcW w:w="1052" w:type="dxa"/>
            <w:tcBorders>
              <w:left w:val="single" w:sz="4" w:space="0" w:color="7F7F7F" w:themeColor="text1" w:themeTint="80"/>
              <w:right w:val="single" w:sz="4" w:space="0" w:color="7F7F7F" w:themeColor="text1" w:themeTint="80"/>
            </w:tcBorders>
          </w:tcPr>
          <w:p w14:paraId="3014749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.031</w:t>
            </w:r>
          </w:p>
        </w:tc>
        <w:tc>
          <w:tcPr>
            <w:tcW w:w="513" w:type="dxa"/>
            <w:tcBorders>
              <w:left w:val="single" w:sz="4" w:space="0" w:color="7F7F7F" w:themeColor="text1" w:themeTint="80"/>
              <w:right w:val="single" w:sz="4" w:space="0" w:color="7F7F7F" w:themeColor="text1" w:themeTint="80"/>
            </w:tcBorders>
          </w:tcPr>
          <w:p w14:paraId="1BC92B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FA90A5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.860</w:t>
            </w:r>
          </w:p>
        </w:tc>
      </w:tr>
      <w:tr w:rsidR="00E24494" w:rsidRPr="009348DB" w14:paraId="2B930B71" w14:textId="77777777" w:rsidTr="00E24494">
        <w:trPr>
          <w:trHeight w:val="395"/>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6ABEA4"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207A16"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Competitive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F8760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4FB2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B3F6B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.138</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0D75E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70A5B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.710</w:t>
            </w:r>
          </w:p>
        </w:tc>
      </w:tr>
      <w:tr w:rsidR="00E24494" w:rsidRPr="009348DB" w14:paraId="5E9F5691"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432AC87D"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B5A467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Loyalty</w:t>
            </w:r>
          </w:p>
        </w:tc>
        <w:tc>
          <w:tcPr>
            <w:tcW w:w="925" w:type="dxa"/>
            <w:tcBorders>
              <w:left w:val="single" w:sz="4" w:space="0" w:color="7F7F7F" w:themeColor="text1" w:themeTint="80"/>
              <w:right w:val="single" w:sz="4" w:space="0" w:color="7F7F7F" w:themeColor="text1" w:themeTint="80"/>
            </w:tcBorders>
          </w:tcPr>
          <w:p w14:paraId="314E22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-1.099</w:t>
            </w:r>
          </w:p>
        </w:tc>
        <w:tc>
          <w:tcPr>
            <w:tcW w:w="1164" w:type="dxa"/>
            <w:tcBorders>
              <w:left w:val="single" w:sz="4" w:space="0" w:color="7F7F7F" w:themeColor="text1" w:themeTint="80"/>
              <w:right w:val="single" w:sz="4" w:space="0" w:color="7F7F7F" w:themeColor="text1" w:themeTint="80"/>
            </w:tcBorders>
          </w:tcPr>
          <w:p w14:paraId="1D7BC4A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.522</w:t>
            </w:r>
          </w:p>
        </w:tc>
        <w:tc>
          <w:tcPr>
            <w:tcW w:w="1052" w:type="dxa"/>
            <w:tcBorders>
              <w:left w:val="single" w:sz="4" w:space="0" w:color="7F7F7F" w:themeColor="text1" w:themeTint="80"/>
              <w:right w:val="single" w:sz="4" w:space="0" w:color="7F7F7F" w:themeColor="text1" w:themeTint="80"/>
            </w:tcBorders>
          </w:tcPr>
          <w:p w14:paraId="3034F6C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4.436</w:t>
            </w:r>
          </w:p>
        </w:tc>
        <w:tc>
          <w:tcPr>
            <w:tcW w:w="513" w:type="dxa"/>
            <w:tcBorders>
              <w:left w:val="single" w:sz="4" w:space="0" w:color="7F7F7F" w:themeColor="text1" w:themeTint="80"/>
              <w:right w:val="single" w:sz="4" w:space="0" w:color="7F7F7F" w:themeColor="text1" w:themeTint="80"/>
            </w:tcBorders>
          </w:tcPr>
          <w:p w14:paraId="7AEC8A5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5F83CEB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.035</w:t>
            </w:r>
          </w:p>
        </w:tc>
      </w:tr>
      <w:tr w:rsidR="00E24494" w:rsidRPr="009348DB" w14:paraId="31613A2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C8E91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A21CB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Design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33CB9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.762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16C5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.462</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9882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2.723</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D753F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7BE0F6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.099</w:t>
            </w:r>
          </w:p>
        </w:tc>
      </w:tr>
      <w:tr w:rsidR="00E24494" w:rsidRPr="009348DB" w14:paraId="76BBCBCE"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A01E22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54E0481"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Customers service support </w:t>
            </w:r>
          </w:p>
        </w:tc>
        <w:tc>
          <w:tcPr>
            <w:tcW w:w="925" w:type="dxa"/>
            <w:tcBorders>
              <w:left w:val="single" w:sz="4" w:space="0" w:color="7F7F7F" w:themeColor="text1" w:themeTint="80"/>
              <w:right w:val="single" w:sz="4" w:space="0" w:color="7F7F7F" w:themeColor="text1" w:themeTint="80"/>
            </w:tcBorders>
          </w:tcPr>
          <w:p w14:paraId="0D0F98F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.025</w:t>
            </w:r>
          </w:p>
        </w:tc>
        <w:tc>
          <w:tcPr>
            <w:tcW w:w="1164" w:type="dxa"/>
            <w:tcBorders>
              <w:left w:val="single" w:sz="4" w:space="0" w:color="7F7F7F" w:themeColor="text1" w:themeTint="80"/>
              <w:right w:val="single" w:sz="4" w:space="0" w:color="7F7F7F" w:themeColor="text1" w:themeTint="80"/>
            </w:tcBorders>
          </w:tcPr>
          <w:p w14:paraId="2A6BF5E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1052" w:type="dxa"/>
            <w:tcBorders>
              <w:left w:val="single" w:sz="4" w:space="0" w:color="7F7F7F" w:themeColor="text1" w:themeTint="80"/>
              <w:right w:val="single" w:sz="4" w:space="0" w:color="7F7F7F" w:themeColor="text1" w:themeTint="80"/>
            </w:tcBorders>
          </w:tcPr>
          <w:p w14:paraId="0AC46A6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.003</w:t>
            </w:r>
          </w:p>
        </w:tc>
        <w:tc>
          <w:tcPr>
            <w:tcW w:w="513" w:type="dxa"/>
            <w:tcBorders>
              <w:left w:val="single" w:sz="4" w:space="0" w:color="7F7F7F" w:themeColor="text1" w:themeTint="80"/>
              <w:right w:val="single" w:sz="4" w:space="0" w:color="7F7F7F" w:themeColor="text1" w:themeTint="80"/>
            </w:tcBorders>
          </w:tcPr>
          <w:p w14:paraId="2C334EC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76131A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.953</w:t>
            </w:r>
          </w:p>
        </w:tc>
      </w:tr>
      <w:tr w:rsidR="00E24494" w:rsidRPr="009348DB" w14:paraId="49B31CB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8697BF"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78423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Innovation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39225C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.705</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C03AA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.419</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97001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2.830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EA7F7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29CD3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.093</w:t>
            </w:r>
          </w:p>
        </w:tc>
      </w:tr>
      <w:tr w:rsidR="00E24494" w:rsidRPr="009348DB" w14:paraId="660AF10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761488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6A278D9F"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16 - 24</w:t>
            </w:r>
          </w:p>
        </w:tc>
        <w:tc>
          <w:tcPr>
            <w:tcW w:w="925" w:type="dxa"/>
            <w:tcBorders>
              <w:left w:val="single" w:sz="4" w:space="0" w:color="7F7F7F" w:themeColor="text1" w:themeTint="80"/>
              <w:right w:val="single" w:sz="4" w:space="0" w:color="7F7F7F" w:themeColor="text1" w:themeTint="80"/>
            </w:tcBorders>
          </w:tcPr>
          <w:p w14:paraId="0A710A4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18.329</w:t>
            </w:r>
          </w:p>
        </w:tc>
        <w:tc>
          <w:tcPr>
            <w:tcW w:w="1164" w:type="dxa"/>
            <w:tcBorders>
              <w:left w:val="single" w:sz="4" w:space="0" w:color="7F7F7F" w:themeColor="text1" w:themeTint="80"/>
              <w:right w:val="single" w:sz="4" w:space="0" w:color="7F7F7F" w:themeColor="text1" w:themeTint="80"/>
            </w:tcBorders>
          </w:tcPr>
          <w:p w14:paraId="2DA3B60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2.271</w:t>
            </w:r>
          </w:p>
        </w:tc>
        <w:tc>
          <w:tcPr>
            <w:tcW w:w="1052" w:type="dxa"/>
            <w:tcBorders>
              <w:left w:val="single" w:sz="4" w:space="0" w:color="7F7F7F" w:themeColor="text1" w:themeTint="80"/>
              <w:right w:val="single" w:sz="4" w:space="0" w:color="7F7F7F" w:themeColor="text1" w:themeTint="80"/>
            </w:tcBorders>
          </w:tcPr>
          <w:p w14:paraId="7C8C31B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65.139</w:t>
            </w:r>
          </w:p>
        </w:tc>
        <w:tc>
          <w:tcPr>
            <w:tcW w:w="513" w:type="dxa"/>
            <w:tcBorders>
              <w:left w:val="single" w:sz="4" w:space="0" w:color="7F7F7F" w:themeColor="text1" w:themeTint="80"/>
              <w:right w:val="single" w:sz="4" w:space="0" w:color="7F7F7F" w:themeColor="text1" w:themeTint="80"/>
            </w:tcBorders>
          </w:tcPr>
          <w:p w14:paraId="295D2D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7698FC1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4FEC076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CDF6F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87E52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6FD6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18.132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91309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1.673</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013BA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117.466</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5AAE7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E2FC0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4C18A74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2CE54A0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73566E5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925" w:type="dxa"/>
            <w:tcBorders>
              <w:left w:val="single" w:sz="4" w:space="0" w:color="7F7F7F" w:themeColor="text1" w:themeTint="80"/>
              <w:right w:val="single" w:sz="4" w:space="0" w:color="7F7F7F" w:themeColor="text1" w:themeTint="80"/>
            </w:tcBorders>
          </w:tcPr>
          <w:p w14:paraId="55D42AD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17.572</w:t>
            </w:r>
          </w:p>
        </w:tc>
        <w:tc>
          <w:tcPr>
            <w:tcW w:w="1164" w:type="dxa"/>
            <w:tcBorders>
              <w:left w:val="single" w:sz="4" w:space="0" w:color="7F7F7F" w:themeColor="text1" w:themeTint="80"/>
              <w:right w:val="single" w:sz="4" w:space="0" w:color="7F7F7F" w:themeColor="text1" w:themeTint="80"/>
            </w:tcBorders>
          </w:tcPr>
          <w:p w14:paraId="477B6FB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1.677</w:t>
            </w:r>
          </w:p>
        </w:tc>
        <w:tc>
          <w:tcPr>
            <w:tcW w:w="1052" w:type="dxa"/>
            <w:tcBorders>
              <w:left w:val="single" w:sz="4" w:space="0" w:color="7F7F7F" w:themeColor="text1" w:themeTint="80"/>
              <w:right w:val="single" w:sz="4" w:space="0" w:color="7F7F7F" w:themeColor="text1" w:themeTint="80"/>
            </w:tcBorders>
          </w:tcPr>
          <w:p w14:paraId="6579868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109.857</w:t>
            </w:r>
          </w:p>
        </w:tc>
        <w:tc>
          <w:tcPr>
            <w:tcW w:w="513" w:type="dxa"/>
            <w:tcBorders>
              <w:left w:val="single" w:sz="4" w:space="0" w:color="7F7F7F" w:themeColor="text1" w:themeTint="80"/>
              <w:right w:val="single" w:sz="4" w:space="0" w:color="7F7F7F" w:themeColor="text1" w:themeTint="80"/>
            </w:tcBorders>
          </w:tcPr>
          <w:p w14:paraId="022A30E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27A3A5B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546CD709"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7660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71FCB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F836E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19.686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5FB1A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3058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ADA2A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462E5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512195E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E8251C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18883382"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925" w:type="dxa"/>
            <w:tcBorders>
              <w:left w:val="single" w:sz="4" w:space="0" w:color="7F7F7F" w:themeColor="text1" w:themeTint="80"/>
              <w:right w:val="single" w:sz="4" w:space="0" w:color="7F7F7F" w:themeColor="text1" w:themeTint="80"/>
            </w:tcBorders>
          </w:tcPr>
          <w:p w14:paraId="3C2CD19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1E70DBF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6AB2FA8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6F41F38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502907E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2A462B5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81202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BB5275"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57279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1.218</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97E5C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.903</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5746D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1.819</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461C8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C1EA4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.177</w:t>
            </w:r>
          </w:p>
        </w:tc>
      </w:tr>
      <w:tr w:rsidR="00E24494" w:rsidRPr="009348DB" w14:paraId="35A07B18"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0FA931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07EA75F9"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925" w:type="dxa"/>
            <w:tcBorders>
              <w:left w:val="single" w:sz="4" w:space="0" w:color="7F7F7F" w:themeColor="text1" w:themeTint="80"/>
              <w:right w:val="single" w:sz="4" w:space="0" w:color="7F7F7F" w:themeColor="text1" w:themeTint="80"/>
            </w:tcBorders>
          </w:tcPr>
          <w:p w14:paraId="48BC96B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05EDD7D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107E679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5C59CC5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7C0061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4B87B690"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9F1844"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72CCA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222EB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-18.336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66C23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9952.272</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36EBB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CA21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E24BE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.999</w:t>
            </w:r>
          </w:p>
        </w:tc>
      </w:tr>
      <w:tr w:rsidR="00E24494" w:rsidRPr="009348DB" w14:paraId="5159A324"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07388B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B504BC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925" w:type="dxa"/>
            <w:tcBorders>
              <w:left w:val="single" w:sz="4" w:space="0" w:color="7F7F7F" w:themeColor="text1" w:themeTint="80"/>
              <w:right w:val="single" w:sz="4" w:space="0" w:color="7F7F7F" w:themeColor="text1" w:themeTint="80"/>
            </w:tcBorders>
          </w:tcPr>
          <w:p w14:paraId="32785B8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1.950</w:t>
            </w:r>
          </w:p>
        </w:tc>
        <w:tc>
          <w:tcPr>
            <w:tcW w:w="1164" w:type="dxa"/>
            <w:tcBorders>
              <w:left w:val="single" w:sz="4" w:space="0" w:color="7F7F7F" w:themeColor="text1" w:themeTint="80"/>
              <w:right w:val="single" w:sz="4" w:space="0" w:color="7F7F7F" w:themeColor="text1" w:themeTint="80"/>
            </w:tcBorders>
          </w:tcPr>
          <w:p w14:paraId="4E5C070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1.201</w:t>
            </w:r>
          </w:p>
        </w:tc>
        <w:tc>
          <w:tcPr>
            <w:tcW w:w="1052" w:type="dxa"/>
            <w:tcBorders>
              <w:left w:val="single" w:sz="4" w:space="0" w:color="7F7F7F" w:themeColor="text1" w:themeTint="80"/>
              <w:right w:val="single" w:sz="4" w:space="0" w:color="7F7F7F" w:themeColor="text1" w:themeTint="80"/>
            </w:tcBorders>
          </w:tcPr>
          <w:p w14:paraId="3B86B89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2.636</w:t>
            </w:r>
          </w:p>
        </w:tc>
        <w:tc>
          <w:tcPr>
            <w:tcW w:w="513" w:type="dxa"/>
            <w:tcBorders>
              <w:left w:val="single" w:sz="4" w:space="0" w:color="7F7F7F" w:themeColor="text1" w:themeTint="80"/>
              <w:right w:val="single" w:sz="4" w:space="0" w:color="7F7F7F" w:themeColor="text1" w:themeTint="80"/>
            </w:tcBorders>
          </w:tcPr>
          <w:p w14:paraId="3A63536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F83E0F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.104</w:t>
            </w:r>
          </w:p>
        </w:tc>
      </w:tr>
      <w:tr w:rsidR="00E24494" w:rsidRPr="009348DB" w14:paraId="34390011"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D48640"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2F2DD9"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FECD8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206D6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11872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7A6CE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0F1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bl>
    <w:p w14:paraId="09C467AB" w14:textId="77777777" w:rsidR="00E24494" w:rsidRPr="009348DB" w:rsidRDefault="0096508A">
      <w:pPr>
        <w:autoSpaceDE w:val="0"/>
        <w:autoSpaceDN w:val="0"/>
        <w:adjustRightInd w:val="0"/>
        <w:spacing w:after="0" w:line="400" w:lineRule="atLeast"/>
        <w:jc w:val="center"/>
        <w:rPr>
          <w:rFonts w:ascii="Arial" w:hAnsi="Arial" w:cs="Arial"/>
          <w:sz w:val="20"/>
          <w:szCs w:val="20"/>
        </w:rPr>
      </w:pPr>
      <w:r w:rsidRPr="009348DB">
        <w:rPr>
          <w:rFonts w:ascii="Arial" w:hAnsi="Arial" w:cs="Arial"/>
          <w:bCs/>
          <w:color w:val="000000"/>
          <w:sz w:val="20"/>
          <w:szCs w:val="20"/>
        </w:rPr>
        <w:t>Pseudo R-Square: Cox and Snell = 0.44; Nagelkerke = 0.48; McFadden = 0.22</w:t>
      </w:r>
    </w:p>
    <w:p w14:paraId="4EC9B647" w14:textId="77777777" w:rsidR="00E24494" w:rsidRPr="009348DB" w:rsidRDefault="00E24494">
      <w:pPr>
        <w:jc w:val="both"/>
        <w:rPr>
          <w:rFonts w:ascii="Arial" w:hAnsi="Arial" w:cs="Arial"/>
          <w:sz w:val="20"/>
          <w:szCs w:val="20"/>
        </w:rPr>
      </w:pPr>
    </w:p>
    <w:p w14:paraId="2B62B39C" w14:textId="77777777" w:rsidR="001A6429" w:rsidRPr="009348DB" w:rsidRDefault="001A6429" w:rsidP="001A6429">
      <w:pPr>
        <w:spacing w:before="100" w:beforeAutospacing="1" w:after="100" w:afterAutospacing="1" w:line="240" w:lineRule="auto"/>
        <w:jc w:val="both"/>
        <w:rPr>
          <w:rFonts w:ascii="Arial" w:eastAsia="Times New Roman" w:hAnsi="Arial" w:cs="Arial"/>
          <w:sz w:val="20"/>
          <w:szCs w:val="20"/>
        </w:rPr>
      </w:pPr>
      <w:r w:rsidRPr="009348DB">
        <w:rPr>
          <w:rFonts w:ascii="Arial" w:eastAsia="Times New Roman" w:hAnsi="Arial" w:cs="Arial"/>
          <w:sz w:val="20"/>
          <w:szCs w:val="20"/>
        </w:rPr>
        <w:t xml:space="preserve">Table 4c revealed Loyalty has a significant negative impact for </w:t>
      </w:r>
      <w:proofErr w:type="spellStart"/>
      <w:r w:rsidRPr="009348DB">
        <w:rPr>
          <w:rFonts w:ascii="Arial" w:eastAsia="Times New Roman" w:hAnsi="Arial" w:cs="Arial"/>
          <w:sz w:val="20"/>
          <w:szCs w:val="20"/>
        </w:rPr>
        <w:t>Infinix</w:t>
      </w:r>
      <w:proofErr w:type="spellEnd"/>
      <w:r w:rsidRPr="009348DB">
        <w:rPr>
          <w:rFonts w:ascii="Arial" w:eastAsia="Times New Roman" w:hAnsi="Arial" w:cs="Arial"/>
          <w:sz w:val="20"/>
          <w:szCs w:val="20"/>
        </w:rPr>
        <w:t xml:space="preserve"> at p-value &lt; 0.05, indicating lower perceived customer loyalty. Age categories 16 – 24, 25 – 34, and 35 – 44 have p-values &lt; 0.05, indicating strong </w:t>
      </w:r>
      <w:proofErr w:type="spellStart"/>
      <w:r w:rsidRPr="009348DB">
        <w:rPr>
          <w:rFonts w:ascii="Arial" w:eastAsia="Times New Roman" w:hAnsi="Arial" w:cs="Arial"/>
          <w:sz w:val="20"/>
          <w:szCs w:val="20"/>
        </w:rPr>
        <w:t>Infinix</w:t>
      </w:r>
      <w:proofErr w:type="spellEnd"/>
      <w:r w:rsidRPr="009348DB">
        <w:rPr>
          <w:rFonts w:ascii="Arial" w:eastAsia="Times New Roman" w:hAnsi="Arial" w:cs="Arial"/>
          <w:sz w:val="20"/>
          <w:szCs w:val="20"/>
        </w:rPr>
        <w:t xml:space="preserve"> brand association among younger users. </w:t>
      </w:r>
    </w:p>
    <w:p w14:paraId="04913E25" w14:textId="77777777" w:rsidR="00E24494" w:rsidRPr="00134506" w:rsidRDefault="001A6429" w:rsidP="00134506">
      <w:pPr>
        <w:spacing w:before="100" w:beforeAutospacing="1" w:after="100" w:afterAutospacing="1" w:line="240" w:lineRule="auto"/>
        <w:jc w:val="both"/>
        <w:rPr>
          <w:rFonts w:ascii="Arial" w:eastAsia="Times New Roman" w:hAnsi="Arial" w:cs="Arial"/>
          <w:sz w:val="20"/>
          <w:szCs w:val="20"/>
        </w:rPr>
      </w:pPr>
      <w:r w:rsidRPr="009348DB">
        <w:rPr>
          <w:rFonts w:ascii="Arial" w:hAnsi="Arial" w:cs="Arial"/>
          <w:sz w:val="20"/>
          <w:szCs w:val="20"/>
        </w:rPr>
        <w:t xml:space="preserve">Overall, Competitive and demographic factors like age significantly influence brand perception for Samsung, while </w:t>
      </w:r>
      <w:proofErr w:type="spellStart"/>
      <w:r w:rsidRPr="009348DB">
        <w:rPr>
          <w:rFonts w:ascii="Arial" w:hAnsi="Arial" w:cs="Arial"/>
          <w:sz w:val="20"/>
          <w:szCs w:val="20"/>
        </w:rPr>
        <w:t>Infinix</w:t>
      </w:r>
      <w:proofErr w:type="spellEnd"/>
      <w:r w:rsidRPr="009348DB">
        <w:rPr>
          <w:rFonts w:ascii="Arial" w:hAnsi="Arial" w:cs="Arial"/>
          <w:sz w:val="20"/>
          <w:szCs w:val="20"/>
        </w:rPr>
        <w:t xml:space="preserve"> shows a mixed perception of loyalty and patronage among younger age users. </w:t>
      </w:r>
      <w:proofErr w:type="spellStart"/>
      <w:r w:rsidRPr="009348DB">
        <w:rPr>
          <w:rFonts w:ascii="Arial" w:hAnsi="Arial" w:cs="Arial"/>
          <w:sz w:val="20"/>
          <w:szCs w:val="20"/>
        </w:rPr>
        <w:t>Tecno’s</w:t>
      </w:r>
      <w:proofErr w:type="spellEnd"/>
      <w:r w:rsidRPr="009348DB">
        <w:rPr>
          <w:rFonts w:ascii="Arial" w:hAnsi="Arial" w:cs="Arial"/>
          <w:sz w:val="20"/>
          <w:szCs w:val="20"/>
        </w:rPr>
        <w:t xml:space="preserve"> attributes are generally perceived neutrally across users.</w:t>
      </w:r>
      <w:r w:rsidR="00134506">
        <w:rPr>
          <w:rFonts w:ascii="Arial" w:eastAsia="Times New Roman" w:hAnsi="Arial" w:cs="Arial"/>
          <w:sz w:val="20"/>
          <w:szCs w:val="20"/>
        </w:rPr>
        <w:t xml:space="preserve">  </w:t>
      </w:r>
    </w:p>
    <w:p w14:paraId="5309B615" w14:textId="77777777" w:rsidR="00134506" w:rsidRPr="00134506" w:rsidRDefault="00134506" w:rsidP="00134506">
      <w:pPr>
        <w:spacing w:after="0" w:line="240" w:lineRule="auto"/>
        <w:jc w:val="both"/>
        <w:rPr>
          <w:rFonts w:ascii="Arial" w:hAnsi="Arial" w:cs="Arial"/>
          <w:b/>
        </w:rPr>
      </w:pPr>
      <w:r w:rsidRPr="00134506">
        <w:rPr>
          <w:rFonts w:ascii="Arial" w:hAnsi="Arial" w:cs="Arial"/>
          <w:b/>
        </w:rPr>
        <w:t>5. CONCLUSION AND RECOMMENDATIONS</w:t>
      </w:r>
    </w:p>
    <w:p w14:paraId="369B16A6" w14:textId="77777777" w:rsidR="00E24494" w:rsidRDefault="0096508A" w:rsidP="00134506">
      <w:pPr>
        <w:spacing w:after="0" w:line="240" w:lineRule="auto"/>
        <w:jc w:val="both"/>
        <w:rPr>
          <w:rFonts w:ascii="Arial" w:eastAsia="Times New Roman" w:hAnsi="Arial" w:cs="Arial"/>
          <w:sz w:val="20"/>
          <w:szCs w:val="20"/>
        </w:rPr>
      </w:pPr>
      <w:r w:rsidRPr="00134506">
        <w:rPr>
          <w:rFonts w:ascii="Arial" w:eastAsia="Times New Roman" w:hAnsi="Arial" w:cs="Arial"/>
          <w:sz w:val="20"/>
          <w:szCs w:val="20"/>
        </w:rPr>
        <w:lastRenderedPageBreak/>
        <w:t xml:space="preserve">In conclusion, this study emphasizes the importance of brand image as a central component in consumer decision-making and loyalty within the competitive Android smartphone market in Nigeria. The use of factor analysis provided valuable insights into the primary dimensions driving brand perception, such as loyalty, design, and innovation and multinomial regression further revealed how demographic factors influence these perceptions. The analysis shows that while </w:t>
      </w:r>
      <w:proofErr w:type="spellStart"/>
      <w:r w:rsidRPr="00134506">
        <w:rPr>
          <w:rFonts w:ascii="Arial" w:hAnsi="Arial" w:cs="Arial"/>
          <w:sz w:val="20"/>
          <w:szCs w:val="20"/>
        </w:rPr>
        <w:t>Tecno</w:t>
      </w:r>
      <w:proofErr w:type="spellEnd"/>
      <w:r w:rsidRPr="00134506">
        <w:rPr>
          <w:rFonts w:ascii="Arial" w:hAnsi="Arial" w:cs="Arial"/>
          <w:sz w:val="20"/>
          <w:szCs w:val="20"/>
        </w:rPr>
        <w:t xml:space="preserve"> exhibits relatively neutral perceptions across key attributes</w:t>
      </w:r>
      <w:r w:rsidRPr="00134506">
        <w:rPr>
          <w:rFonts w:ascii="Arial" w:eastAsia="Times New Roman" w:hAnsi="Arial" w:cs="Arial"/>
          <w:sz w:val="20"/>
          <w:szCs w:val="20"/>
        </w:rPr>
        <w:t xml:space="preserve">, Samsung’s brand image benefits from its perceived competitiveness among older consumers, and </w:t>
      </w:r>
      <w:proofErr w:type="spellStart"/>
      <w:r w:rsidRPr="00134506">
        <w:rPr>
          <w:rFonts w:ascii="Arial" w:eastAsia="Times New Roman" w:hAnsi="Arial" w:cs="Arial"/>
          <w:sz w:val="20"/>
          <w:szCs w:val="20"/>
        </w:rPr>
        <w:t>Infinix</w:t>
      </w:r>
      <w:proofErr w:type="spellEnd"/>
      <w:r w:rsidRPr="00134506">
        <w:rPr>
          <w:rFonts w:ascii="Arial" w:eastAsia="Times New Roman" w:hAnsi="Arial" w:cs="Arial"/>
          <w:sz w:val="20"/>
          <w:szCs w:val="20"/>
        </w:rPr>
        <w:t xml:space="preserve"> appeals more to younger age groups but with varying loyalty levels. These insights offer practical implications for Android brands aiming to strengthen their market position by aligning branding strategies with consumer expectations, which is particularly critical in rapidly growing markets like Nigeria.</w:t>
      </w:r>
    </w:p>
    <w:p w14:paraId="25CC6114" w14:textId="77777777" w:rsidR="005E01A6" w:rsidRDefault="005E01A6" w:rsidP="00134506">
      <w:pPr>
        <w:spacing w:after="0" w:line="240" w:lineRule="auto"/>
        <w:jc w:val="both"/>
        <w:rPr>
          <w:rFonts w:ascii="Arial" w:eastAsia="Times New Roman" w:hAnsi="Arial" w:cs="Arial"/>
          <w:sz w:val="20"/>
          <w:szCs w:val="20"/>
        </w:rPr>
      </w:pPr>
    </w:p>
    <w:p w14:paraId="5EA451B3" w14:textId="77777777" w:rsidR="005E01A6" w:rsidRPr="005E01A6" w:rsidRDefault="005E01A6" w:rsidP="005E01A6">
      <w:pPr>
        <w:spacing w:after="0" w:line="240" w:lineRule="auto"/>
        <w:jc w:val="both"/>
        <w:rPr>
          <w:rFonts w:ascii="Arial" w:eastAsia="Times New Roman" w:hAnsi="Arial" w:cs="Arial"/>
          <w:sz w:val="20"/>
          <w:szCs w:val="20"/>
        </w:rPr>
      </w:pPr>
      <w:r w:rsidRPr="005E01A6">
        <w:rPr>
          <w:rFonts w:ascii="Arial" w:eastAsia="Times New Roman" w:hAnsi="Arial" w:cs="Arial"/>
          <w:sz w:val="20"/>
          <w:szCs w:val="20"/>
        </w:rPr>
        <w:t>COMPETING INTERESTS DISCLAIMER:</w:t>
      </w:r>
    </w:p>
    <w:p w14:paraId="60DF2C72" w14:textId="77777777" w:rsidR="005E01A6" w:rsidRPr="005E01A6" w:rsidRDefault="005E01A6" w:rsidP="005E01A6">
      <w:pPr>
        <w:spacing w:after="0" w:line="240" w:lineRule="auto"/>
        <w:jc w:val="both"/>
        <w:rPr>
          <w:rFonts w:ascii="Arial" w:eastAsia="Times New Roman" w:hAnsi="Arial" w:cs="Arial"/>
          <w:sz w:val="20"/>
          <w:szCs w:val="20"/>
        </w:rPr>
      </w:pPr>
      <w:r w:rsidRPr="005E01A6">
        <w:rPr>
          <w:rFonts w:ascii="Arial" w:eastAsia="Times New Roman" w:hAnsi="Arial" w:cs="Arial"/>
          <w:sz w:val="20"/>
          <w:szCs w:val="20"/>
        </w:rPr>
        <w:t>Authors have declared that they have no known competing financial interests OR non-financial interests OR personal relationships that could have appeared to influence the work reported in this paper.</w:t>
      </w:r>
    </w:p>
    <w:p w14:paraId="6CB90B3F" w14:textId="77777777" w:rsidR="005E01A6" w:rsidRPr="005E01A6" w:rsidRDefault="005E01A6" w:rsidP="005E01A6">
      <w:pPr>
        <w:spacing w:after="0" w:line="240" w:lineRule="auto"/>
        <w:jc w:val="both"/>
        <w:rPr>
          <w:rFonts w:ascii="Arial" w:eastAsia="Times New Roman" w:hAnsi="Arial" w:cs="Arial"/>
          <w:sz w:val="20"/>
          <w:szCs w:val="20"/>
        </w:rPr>
      </w:pPr>
    </w:p>
    <w:p w14:paraId="34C2B92B" w14:textId="77777777" w:rsidR="005E01A6" w:rsidRPr="00134506" w:rsidRDefault="005E01A6" w:rsidP="00134506">
      <w:pPr>
        <w:spacing w:after="0" w:line="240" w:lineRule="auto"/>
        <w:jc w:val="both"/>
        <w:rPr>
          <w:rFonts w:ascii="Arial" w:eastAsia="Times New Roman" w:hAnsi="Arial" w:cs="Arial"/>
          <w:sz w:val="20"/>
          <w:szCs w:val="20"/>
        </w:rPr>
      </w:pPr>
    </w:p>
    <w:p w14:paraId="0573B6EF" w14:textId="77777777" w:rsidR="00B825A6" w:rsidRDefault="00B825A6">
      <w:pPr>
        <w:jc w:val="both"/>
        <w:rPr>
          <w:rFonts w:ascii="Times New Roman" w:hAnsi="Times New Roman" w:cs="Times New Roman"/>
          <w:sz w:val="24"/>
          <w:szCs w:val="24"/>
        </w:rPr>
      </w:pPr>
    </w:p>
    <w:p w14:paraId="433DACDD" w14:textId="77777777" w:rsidR="00E24494" w:rsidRPr="00B825A6" w:rsidRDefault="00134506">
      <w:pPr>
        <w:jc w:val="both"/>
        <w:rPr>
          <w:rFonts w:ascii="Arial" w:hAnsi="Arial" w:cs="Arial"/>
          <w:b/>
        </w:rPr>
      </w:pPr>
      <w:r w:rsidRPr="00B825A6">
        <w:rPr>
          <w:rFonts w:ascii="Arial" w:hAnsi="Arial" w:cs="Arial"/>
          <w:b/>
        </w:rPr>
        <w:t>REFERENCES</w:t>
      </w:r>
    </w:p>
    <w:p w14:paraId="301D836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Aaker, D. A. (1991). </w:t>
      </w:r>
      <w:r w:rsidRPr="00B825A6">
        <w:rPr>
          <w:rFonts w:ascii="Arial" w:eastAsia="Times New Roman" w:hAnsi="Arial" w:cs="Arial"/>
          <w:iCs/>
          <w:sz w:val="20"/>
          <w:szCs w:val="20"/>
        </w:rPr>
        <w:t>Managing Brand Equity: Capitalizing on the Value of a Brand Name</w:t>
      </w:r>
      <w:r w:rsidRPr="00B825A6">
        <w:rPr>
          <w:rFonts w:ascii="Arial" w:eastAsia="Times New Roman" w:hAnsi="Arial" w:cs="Arial"/>
          <w:sz w:val="20"/>
          <w:szCs w:val="20"/>
        </w:rPr>
        <w:t xml:space="preserve">. </w:t>
      </w:r>
    </w:p>
    <w:p w14:paraId="774726E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w:t>
      </w:r>
      <w:proofErr w:type="spellStart"/>
      <w:r w:rsidRPr="00B825A6">
        <w:rPr>
          <w:rFonts w:ascii="Arial" w:eastAsia="Times New Roman" w:hAnsi="Arial" w:cs="Arial"/>
          <w:sz w:val="20"/>
          <w:szCs w:val="20"/>
        </w:rPr>
        <w:t>FreePress</w:t>
      </w:r>
      <w:proofErr w:type="spellEnd"/>
      <w:r w:rsidRPr="00B825A6">
        <w:rPr>
          <w:rFonts w:ascii="Arial" w:eastAsia="Times New Roman" w:hAnsi="Arial" w:cs="Arial"/>
          <w:sz w:val="20"/>
          <w:szCs w:val="20"/>
        </w:rPr>
        <w:t>.</w:t>
      </w:r>
    </w:p>
    <w:p w14:paraId="7FACBBB1" w14:textId="77777777" w:rsidR="00E24494" w:rsidRPr="00B825A6" w:rsidRDefault="00E24494" w:rsidP="00B825A6">
      <w:pPr>
        <w:spacing w:after="0" w:line="240" w:lineRule="auto"/>
        <w:jc w:val="both"/>
        <w:rPr>
          <w:rFonts w:ascii="Arial" w:eastAsia="Times New Roman" w:hAnsi="Arial" w:cs="Arial"/>
          <w:sz w:val="20"/>
          <w:szCs w:val="20"/>
        </w:rPr>
      </w:pPr>
    </w:p>
    <w:p w14:paraId="20A969AB" w14:textId="77777777" w:rsidR="00E24494" w:rsidRPr="00B825A6" w:rsidRDefault="0096508A" w:rsidP="00B825A6">
      <w:pPr>
        <w:spacing w:after="0" w:line="240" w:lineRule="auto"/>
        <w:jc w:val="both"/>
        <w:rPr>
          <w:rFonts w:ascii="Arial" w:eastAsia="Times New Roman" w:hAnsi="Arial" w:cs="Arial"/>
          <w:i/>
          <w:iCs/>
          <w:sz w:val="20"/>
          <w:szCs w:val="20"/>
        </w:rPr>
      </w:pPr>
      <w:r w:rsidRPr="00B825A6">
        <w:rPr>
          <w:rFonts w:ascii="Arial" w:eastAsia="Times New Roman" w:hAnsi="Arial" w:cs="Arial"/>
          <w:sz w:val="20"/>
          <w:szCs w:val="20"/>
        </w:rPr>
        <w:t xml:space="preserve">Byrne, B. M. (2016). </w:t>
      </w:r>
      <w:r w:rsidRPr="00B825A6">
        <w:rPr>
          <w:rFonts w:ascii="Arial" w:eastAsia="Times New Roman" w:hAnsi="Arial" w:cs="Arial"/>
          <w:i/>
          <w:iCs/>
          <w:sz w:val="20"/>
          <w:szCs w:val="20"/>
        </w:rPr>
        <w:t xml:space="preserve">Structural Equation Modeling with AMOS: Basic Concepts, Applications, </w:t>
      </w:r>
    </w:p>
    <w:p w14:paraId="1E477C0C"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i/>
          <w:iCs/>
          <w:sz w:val="20"/>
          <w:szCs w:val="20"/>
        </w:rPr>
        <w:t xml:space="preserve">           and Programming</w:t>
      </w:r>
      <w:r w:rsidRPr="00B825A6">
        <w:rPr>
          <w:rFonts w:ascii="Arial" w:eastAsia="Times New Roman" w:hAnsi="Arial" w:cs="Arial"/>
          <w:sz w:val="20"/>
          <w:szCs w:val="20"/>
        </w:rPr>
        <w:t xml:space="preserve"> (3rd ed.). Routledge.</w:t>
      </w:r>
    </w:p>
    <w:p w14:paraId="376E914E" w14:textId="77777777" w:rsidR="00E24494" w:rsidRPr="00B825A6" w:rsidRDefault="00E24494" w:rsidP="00B825A6">
      <w:pPr>
        <w:spacing w:after="0" w:line="240" w:lineRule="auto"/>
        <w:jc w:val="both"/>
        <w:rPr>
          <w:rFonts w:ascii="Arial" w:eastAsia="Times New Roman" w:hAnsi="Arial" w:cs="Arial"/>
          <w:sz w:val="20"/>
          <w:szCs w:val="20"/>
        </w:rPr>
      </w:pPr>
    </w:p>
    <w:p w14:paraId="27C938FA"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fldChar w:fldCharType="begin" w:fldLock="1"/>
      </w:r>
      <w:r w:rsidRPr="00B825A6">
        <w:rPr>
          <w:rFonts w:ascii="Arial" w:hAnsi="Arial" w:cs="Arial"/>
          <w:sz w:val="20"/>
          <w:szCs w:val="20"/>
        </w:rPr>
        <w:instrText xml:space="preserve">ADDIN Mendeley Bibliography CSL_BIBLIOGRAPHY </w:instrText>
      </w:r>
      <w:r w:rsidRPr="00B825A6">
        <w:rPr>
          <w:rFonts w:ascii="Arial" w:hAnsi="Arial" w:cs="Arial"/>
          <w:sz w:val="20"/>
          <w:szCs w:val="20"/>
        </w:rPr>
        <w:fldChar w:fldCharType="separate"/>
      </w:r>
      <w:r w:rsidRPr="00B825A6">
        <w:rPr>
          <w:rFonts w:ascii="Arial" w:hAnsi="Arial" w:cs="Arial"/>
          <w:sz w:val="20"/>
          <w:szCs w:val="20"/>
        </w:rPr>
        <w:t xml:space="preserve">C. Whan Park, Bernard J. Jaworski, &amp; Deborah J. Macinnis. (1986). Strategic brand concept-image management. </w:t>
      </w:r>
      <w:r w:rsidRPr="00B825A6">
        <w:rPr>
          <w:rFonts w:ascii="Arial" w:hAnsi="Arial" w:cs="Arial"/>
          <w:i/>
          <w:iCs/>
          <w:sz w:val="20"/>
          <w:szCs w:val="20"/>
        </w:rPr>
        <w:t xml:space="preserve">Journal of Marketing </w:t>
      </w:r>
      <w:r w:rsidRPr="00B825A6">
        <w:rPr>
          <w:rFonts w:ascii="Arial" w:hAnsi="Arial" w:cs="Arial"/>
          <w:sz w:val="20"/>
          <w:szCs w:val="20"/>
        </w:rPr>
        <w:t xml:space="preserve">, </w:t>
      </w:r>
      <w:r w:rsidRPr="00B825A6">
        <w:rPr>
          <w:rFonts w:ascii="Arial" w:hAnsi="Arial" w:cs="Arial"/>
          <w:i/>
          <w:iCs/>
          <w:sz w:val="20"/>
          <w:szCs w:val="20"/>
        </w:rPr>
        <w:t>50</w:t>
      </w:r>
      <w:r w:rsidRPr="00B825A6">
        <w:rPr>
          <w:rFonts w:ascii="Arial" w:hAnsi="Arial" w:cs="Arial"/>
          <w:sz w:val="20"/>
          <w:szCs w:val="20"/>
        </w:rPr>
        <w:t>(October), 135–145.</w:t>
      </w:r>
    </w:p>
    <w:p w14:paraId="6D9B87EA"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Chaudhuri, A., &amp; Holbrook, M. B. (2001). The chain of effects from brand trust and brand affect to brand performance: The role of brand loyalty. </w:t>
      </w:r>
      <w:r w:rsidRPr="00B825A6">
        <w:rPr>
          <w:rFonts w:ascii="Arial" w:hAnsi="Arial" w:cs="Arial"/>
          <w:i/>
          <w:iCs/>
          <w:sz w:val="20"/>
          <w:szCs w:val="20"/>
        </w:rPr>
        <w:t>Journal of Marketing</w:t>
      </w:r>
      <w:r w:rsidRPr="00B825A6">
        <w:rPr>
          <w:rFonts w:ascii="Arial" w:hAnsi="Arial" w:cs="Arial"/>
          <w:sz w:val="20"/>
          <w:szCs w:val="20"/>
        </w:rPr>
        <w:t xml:space="preserve">, </w:t>
      </w:r>
      <w:r w:rsidRPr="00B825A6">
        <w:rPr>
          <w:rFonts w:ascii="Arial" w:hAnsi="Arial" w:cs="Arial"/>
          <w:i/>
          <w:iCs/>
          <w:sz w:val="20"/>
          <w:szCs w:val="20"/>
        </w:rPr>
        <w:t>65</w:t>
      </w:r>
      <w:r w:rsidRPr="00B825A6">
        <w:rPr>
          <w:rFonts w:ascii="Arial" w:hAnsi="Arial" w:cs="Arial"/>
          <w:sz w:val="20"/>
          <w:szCs w:val="20"/>
        </w:rPr>
        <w:t>(2), 81–93. https://doi.org/10.1509/jmkg.65.2.81.18255</w:t>
      </w:r>
    </w:p>
    <w:p w14:paraId="02BA0596"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Durmaz, B. (2017). Validity and Reliability of Geriatric Depression Scale - 15 (Short Form) in Turkish older adults. </w:t>
      </w:r>
      <w:r w:rsidRPr="00B825A6">
        <w:rPr>
          <w:rFonts w:ascii="Arial" w:hAnsi="Arial" w:cs="Arial"/>
          <w:i/>
          <w:iCs/>
          <w:sz w:val="20"/>
          <w:szCs w:val="20"/>
        </w:rPr>
        <w:t>Northern Clinics of Istanbul</w:t>
      </w:r>
      <w:r w:rsidRPr="00B825A6">
        <w:rPr>
          <w:rFonts w:ascii="Arial" w:hAnsi="Arial" w:cs="Arial"/>
          <w:sz w:val="20"/>
          <w:szCs w:val="20"/>
        </w:rPr>
        <w:t xml:space="preserve">, </w:t>
      </w:r>
      <w:r w:rsidRPr="00B825A6">
        <w:rPr>
          <w:rFonts w:ascii="Arial" w:hAnsi="Arial" w:cs="Arial"/>
          <w:i/>
          <w:iCs/>
          <w:sz w:val="20"/>
          <w:szCs w:val="20"/>
        </w:rPr>
        <w:t>5</w:t>
      </w:r>
      <w:r w:rsidRPr="00B825A6">
        <w:rPr>
          <w:rFonts w:ascii="Arial" w:hAnsi="Arial" w:cs="Arial"/>
          <w:sz w:val="20"/>
          <w:szCs w:val="20"/>
        </w:rPr>
        <w:t>(3), 216–220. https://doi.org/10.14744/nci.2017.85047</w:t>
      </w:r>
    </w:p>
    <w:p w14:paraId="3574FC6C"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Faircloth, J. B., Capella, L. M., &amp; Alford, B. L. (2001). The Effect of Brand Attitude and Brand Image on Brand Equity. </w:t>
      </w:r>
      <w:r w:rsidRPr="00B825A6">
        <w:rPr>
          <w:rFonts w:ascii="Arial" w:hAnsi="Arial" w:cs="Arial"/>
          <w:i/>
          <w:iCs/>
          <w:sz w:val="20"/>
          <w:szCs w:val="20"/>
        </w:rPr>
        <w:t>Journal of Marketing Theory and Practice</w:t>
      </w:r>
      <w:r w:rsidRPr="00B825A6">
        <w:rPr>
          <w:rFonts w:ascii="Arial" w:hAnsi="Arial" w:cs="Arial"/>
          <w:sz w:val="20"/>
          <w:szCs w:val="20"/>
        </w:rPr>
        <w:t xml:space="preserve">, </w:t>
      </w:r>
      <w:r w:rsidRPr="00B825A6">
        <w:rPr>
          <w:rFonts w:ascii="Arial" w:hAnsi="Arial" w:cs="Arial"/>
          <w:i/>
          <w:iCs/>
          <w:sz w:val="20"/>
          <w:szCs w:val="20"/>
        </w:rPr>
        <w:t>9</w:t>
      </w:r>
      <w:r w:rsidRPr="00B825A6">
        <w:rPr>
          <w:rFonts w:ascii="Arial" w:hAnsi="Arial" w:cs="Arial"/>
          <w:sz w:val="20"/>
          <w:szCs w:val="20"/>
        </w:rPr>
        <w:t>(3), 61–75. https://doi.org/10.1080/10696679.2001.11501897</w:t>
      </w:r>
    </w:p>
    <w:p w14:paraId="6404862A"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Hair, J. F., Black, W. C., Babin, B. J., &amp; Anderson, R. E. (2010). </w:t>
      </w:r>
      <w:r w:rsidRPr="00B825A6">
        <w:rPr>
          <w:rFonts w:ascii="Arial" w:eastAsia="Times New Roman" w:hAnsi="Arial" w:cs="Arial"/>
          <w:i/>
          <w:iCs/>
          <w:sz w:val="20"/>
          <w:szCs w:val="20"/>
        </w:rPr>
        <w:t>Multivariate Data Analysis</w:t>
      </w:r>
      <w:r w:rsidRPr="00B825A6">
        <w:rPr>
          <w:rFonts w:ascii="Arial" w:eastAsia="Times New Roman" w:hAnsi="Arial" w:cs="Arial"/>
          <w:sz w:val="20"/>
          <w:szCs w:val="20"/>
        </w:rPr>
        <w:t xml:space="preserve"> </w:t>
      </w:r>
    </w:p>
    <w:p w14:paraId="1C9BDC51"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(7th ed.). Pearson.</w:t>
      </w:r>
    </w:p>
    <w:p w14:paraId="225FC7D9" w14:textId="77777777" w:rsidR="00E24494" w:rsidRPr="00B825A6" w:rsidRDefault="00E24494" w:rsidP="00B825A6">
      <w:pPr>
        <w:spacing w:after="0" w:line="240" w:lineRule="auto"/>
        <w:jc w:val="both"/>
        <w:rPr>
          <w:rFonts w:ascii="Arial" w:eastAsia="Times New Roman" w:hAnsi="Arial" w:cs="Arial"/>
          <w:sz w:val="20"/>
          <w:szCs w:val="20"/>
        </w:rPr>
      </w:pPr>
    </w:p>
    <w:p w14:paraId="4F82A10E" w14:textId="77777777" w:rsidR="00E24494" w:rsidRPr="00B825A6" w:rsidRDefault="0096508A" w:rsidP="00B825A6">
      <w:pPr>
        <w:spacing w:after="0" w:line="240" w:lineRule="auto"/>
        <w:jc w:val="both"/>
        <w:rPr>
          <w:rFonts w:ascii="Arial" w:eastAsia="Times New Roman" w:hAnsi="Arial" w:cs="Arial"/>
          <w:i/>
          <w:iCs/>
          <w:sz w:val="20"/>
          <w:szCs w:val="20"/>
        </w:rPr>
      </w:pPr>
      <w:r w:rsidRPr="00B825A6">
        <w:rPr>
          <w:rFonts w:ascii="Arial" w:eastAsia="Times New Roman" w:hAnsi="Arial" w:cs="Arial"/>
          <w:sz w:val="20"/>
          <w:szCs w:val="20"/>
        </w:rPr>
        <w:t xml:space="preserve">Kapferer, J. N. (2008). </w:t>
      </w:r>
      <w:r w:rsidRPr="00B825A6">
        <w:rPr>
          <w:rFonts w:ascii="Arial" w:eastAsia="Times New Roman" w:hAnsi="Arial" w:cs="Arial"/>
          <w:i/>
          <w:iCs/>
          <w:sz w:val="20"/>
          <w:szCs w:val="20"/>
        </w:rPr>
        <w:t xml:space="preserve">The New Strategic Brand Management: Creating and Sustaining Brand </w:t>
      </w:r>
    </w:p>
    <w:p w14:paraId="61696C07" w14:textId="77777777" w:rsidR="00E24494" w:rsidRPr="006D428E" w:rsidRDefault="0096508A" w:rsidP="00B825A6">
      <w:pPr>
        <w:spacing w:after="0" w:line="240" w:lineRule="auto"/>
        <w:jc w:val="both"/>
        <w:rPr>
          <w:rFonts w:ascii="Arial" w:eastAsia="Times New Roman" w:hAnsi="Arial" w:cs="Arial"/>
          <w:sz w:val="20"/>
          <w:szCs w:val="20"/>
          <w:lang w:val="de-DE"/>
        </w:rPr>
      </w:pPr>
      <w:r w:rsidRPr="00B825A6">
        <w:rPr>
          <w:rFonts w:ascii="Arial" w:eastAsia="Times New Roman" w:hAnsi="Arial" w:cs="Arial"/>
          <w:i/>
          <w:iCs/>
          <w:sz w:val="20"/>
          <w:szCs w:val="20"/>
        </w:rPr>
        <w:t xml:space="preserve">         Equity Long Term</w:t>
      </w:r>
      <w:r w:rsidRPr="00B825A6">
        <w:rPr>
          <w:rFonts w:ascii="Arial" w:eastAsia="Times New Roman" w:hAnsi="Arial" w:cs="Arial"/>
          <w:sz w:val="20"/>
          <w:szCs w:val="20"/>
        </w:rPr>
        <w:t xml:space="preserve"> (4th ed.). </w:t>
      </w:r>
      <w:r w:rsidRPr="006D428E">
        <w:rPr>
          <w:rFonts w:ascii="Arial" w:eastAsia="Times New Roman" w:hAnsi="Arial" w:cs="Arial"/>
          <w:sz w:val="20"/>
          <w:szCs w:val="20"/>
          <w:lang w:val="de-DE"/>
        </w:rPr>
        <w:t>Kogan Page</w:t>
      </w:r>
    </w:p>
    <w:p w14:paraId="24622F7F" w14:textId="77777777" w:rsidR="00E24494" w:rsidRPr="006D428E" w:rsidRDefault="00E24494" w:rsidP="00B825A6">
      <w:pPr>
        <w:spacing w:after="0"/>
        <w:jc w:val="both"/>
        <w:rPr>
          <w:rFonts w:ascii="Arial" w:hAnsi="Arial" w:cs="Arial"/>
          <w:sz w:val="20"/>
          <w:szCs w:val="20"/>
          <w:lang w:val="de-DE"/>
        </w:rPr>
      </w:pPr>
    </w:p>
    <w:p w14:paraId="65C4E4A4" w14:textId="77777777" w:rsidR="00E24494" w:rsidRPr="00B825A6" w:rsidRDefault="0096508A" w:rsidP="00B825A6">
      <w:pPr>
        <w:spacing w:after="0"/>
        <w:jc w:val="both"/>
        <w:rPr>
          <w:rFonts w:ascii="Arial" w:eastAsia="Times New Roman" w:hAnsi="Arial" w:cs="Arial"/>
          <w:sz w:val="20"/>
          <w:szCs w:val="20"/>
        </w:rPr>
      </w:pPr>
      <w:r w:rsidRPr="006D428E">
        <w:rPr>
          <w:rFonts w:ascii="Arial" w:eastAsia="Times New Roman" w:hAnsi="Arial" w:cs="Arial"/>
          <w:sz w:val="20"/>
          <w:szCs w:val="20"/>
          <w:lang w:val="de-DE"/>
        </w:rPr>
        <w:t xml:space="preserve">Keller, K. L. (1993). </w:t>
      </w:r>
      <w:r w:rsidRPr="00B825A6">
        <w:rPr>
          <w:rFonts w:ascii="Arial" w:eastAsia="Times New Roman" w:hAnsi="Arial" w:cs="Arial"/>
          <w:sz w:val="20"/>
          <w:szCs w:val="20"/>
        </w:rPr>
        <w:t>Conceptualizing, Measuring, and Managing Customer-Based Brand Equity.</w:t>
      </w:r>
    </w:p>
    <w:p w14:paraId="4D8448AF" w14:textId="77777777" w:rsidR="00E24494" w:rsidRPr="00B825A6" w:rsidRDefault="0096508A" w:rsidP="00B825A6">
      <w:pPr>
        <w:spacing w:after="0"/>
        <w:jc w:val="both"/>
        <w:rPr>
          <w:rFonts w:ascii="Arial" w:hAnsi="Arial" w:cs="Arial"/>
          <w:sz w:val="20"/>
          <w:szCs w:val="20"/>
        </w:rPr>
      </w:pPr>
      <w:r w:rsidRPr="00B825A6">
        <w:rPr>
          <w:rFonts w:ascii="Arial" w:eastAsia="Times New Roman" w:hAnsi="Arial" w:cs="Arial"/>
          <w:sz w:val="20"/>
          <w:szCs w:val="20"/>
        </w:rPr>
        <w:t xml:space="preserve">        </w:t>
      </w:r>
      <w:r w:rsidRPr="00B825A6">
        <w:rPr>
          <w:rFonts w:ascii="Arial" w:eastAsia="Times New Roman" w:hAnsi="Arial" w:cs="Arial"/>
          <w:i/>
          <w:iCs/>
          <w:sz w:val="20"/>
          <w:szCs w:val="20"/>
        </w:rPr>
        <w:t>Journal of Marketing</w:t>
      </w:r>
      <w:r w:rsidRPr="00B825A6">
        <w:rPr>
          <w:rFonts w:ascii="Arial" w:eastAsia="Times New Roman" w:hAnsi="Arial" w:cs="Arial"/>
          <w:sz w:val="20"/>
          <w:szCs w:val="20"/>
        </w:rPr>
        <w:t xml:space="preserve">, 57(1), 1–22. </w:t>
      </w:r>
      <w:hyperlink r:id="rId8" w:history="1">
        <w:r w:rsidRPr="00B825A6">
          <w:rPr>
            <w:rStyle w:val="Hyperlink"/>
            <w:rFonts w:ascii="Arial" w:eastAsia="Times New Roman" w:hAnsi="Arial" w:cs="Arial"/>
            <w:sz w:val="20"/>
            <w:szCs w:val="20"/>
          </w:rPr>
          <w:t>https://doi.org/10.2307/1252054</w:t>
        </w:r>
      </w:hyperlink>
    </w:p>
    <w:p w14:paraId="66E54AFF" w14:textId="77777777" w:rsidR="00E24494" w:rsidRPr="00B825A6" w:rsidRDefault="00E24494" w:rsidP="00B825A6">
      <w:pPr>
        <w:pStyle w:val="ListParagraph"/>
        <w:jc w:val="both"/>
        <w:rPr>
          <w:rFonts w:ascii="Arial" w:eastAsia="Times New Roman" w:hAnsi="Arial" w:cs="Arial"/>
          <w:sz w:val="20"/>
          <w:szCs w:val="20"/>
        </w:rPr>
      </w:pPr>
    </w:p>
    <w:p w14:paraId="057B084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Keller, K. L. (2009). Building Strong Brands in a Modern Marketing Communications </w:t>
      </w:r>
    </w:p>
    <w:p w14:paraId="5BF97E5B"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Environment. </w:t>
      </w:r>
      <w:r w:rsidRPr="00B825A6">
        <w:rPr>
          <w:rFonts w:ascii="Arial" w:eastAsia="Times New Roman" w:hAnsi="Arial" w:cs="Arial"/>
          <w:i/>
          <w:iCs/>
          <w:sz w:val="20"/>
          <w:szCs w:val="20"/>
        </w:rPr>
        <w:t>Journal of Marketing Communications</w:t>
      </w:r>
      <w:r w:rsidRPr="00B825A6">
        <w:rPr>
          <w:rFonts w:ascii="Arial" w:eastAsia="Times New Roman" w:hAnsi="Arial" w:cs="Arial"/>
          <w:sz w:val="20"/>
          <w:szCs w:val="20"/>
        </w:rPr>
        <w:t xml:space="preserve">, 15(2–3), 139–155.    </w:t>
      </w:r>
    </w:p>
    <w:p w14:paraId="0D715ED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w:t>
      </w:r>
      <w:hyperlink r:id="rId9" w:history="1">
        <w:r w:rsidRPr="00B825A6">
          <w:rPr>
            <w:rStyle w:val="Hyperlink"/>
            <w:rFonts w:ascii="Arial" w:eastAsia="Times New Roman" w:hAnsi="Arial" w:cs="Arial"/>
            <w:sz w:val="20"/>
            <w:szCs w:val="20"/>
          </w:rPr>
          <w:t>https://doi.org/10.1080/13527260902757530</w:t>
        </w:r>
      </w:hyperlink>
    </w:p>
    <w:p w14:paraId="515072FD" w14:textId="77777777" w:rsidR="00E24494" w:rsidRPr="00B825A6" w:rsidRDefault="00E24494" w:rsidP="00B825A6">
      <w:pPr>
        <w:widowControl w:val="0"/>
        <w:autoSpaceDE w:val="0"/>
        <w:autoSpaceDN w:val="0"/>
        <w:adjustRightInd w:val="0"/>
        <w:spacing w:line="240" w:lineRule="auto"/>
        <w:ind w:left="480" w:hanging="480"/>
        <w:jc w:val="both"/>
        <w:rPr>
          <w:rFonts w:ascii="Arial" w:hAnsi="Arial" w:cs="Arial"/>
          <w:sz w:val="20"/>
          <w:szCs w:val="20"/>
        </w:rPr>
      </w:pPr>
    </w:p>
    <w:p w14:paraId="16582AAE"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Low, G., Charles, W., &amp; Lamb, J. (2010). The measurement and dimensionality of brand associations The measurement and dimensionality of brand associations. In </w:t>
      </w:r>
      <w:r w:rsidRPr="00B825A6">
        <w:rPr>
          <w:rFonts w:ascii="Arial" w:hAnsi="Arial" w:cs="Arial"/>
          <w:i/>
          <w:iCs/>
          <w:sz w:val="20"/>
          <w:szCs w:val="20"/>
        </w:rPr>
        <w:t xml:space="preserve">Journal of Product &amp; Brand </w:t>
      </w:r>
      <w:r w:rsidRPr="00B825A6">
        <w:rPr>
          <w:rFonts w:ascii="Arial" w:hAnsi="Arial" w:cs="Arial"/>
          <w:i/>
          <w:iCs/>
          <w:sz w:val="20"/>
          <w:szCs w:val="20"/>
        </w:rPr>
        <w:lastRenderedPageBreak/>
        <w:t>Management</w:t>
      </w:r>
      <w:r w:rsidRPr="00B825A6">
        <w:rPr>
          <w:rFonts w:ascii="Arial" w:hAnsi="Arial" w:cs="Arial"/>
          <w:sz w:val="20"/>
          <w:szCs w:val="20"/>
        </w:rPr>
        <w:t xml:space="preserve"> (Vol. 9, Issue 6).</w:t>
      </w:r>
    </w:p>
    <w:p w14:paraId="4F6A15B9"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Phau, I., &amp; Lau, K. C. (2000). Conceptualising brand personality: A review and research propositions. </w:t>
      </w:r>
      <w:r w:rsidRPr="00B825A6">
        <w:rPr>
          <w:rFonts w:ascii="Arial" w:hAnsi="Arial" w:cs="Arial"/>
          <w:i/>
          <w:iCs/>
          <w:sz w:val="20"/>
          <w:szCs w:val="20"/>
        </w:rPr>
        <w:t>Journal of Targeting, Measurement and Analysis for Marketing</w:t>
      </w:r>
      <w:r w:rsidRPr="00B825A6">
        <w:rPr>
          <w:rFonts w:ascii="Arial" w:hAnsi="Arial" w:cs="Arial"/>
          <w:sz w:val="20"/>
          <w:szCs w:val="20"/>
        </w:rPr>
        <w:t xml:space="preserve">, </w:t>
      </w:r>
      <w:r w:rsidRPr="00B825A6">
        <w:rPr>
          <w:rFonts w:ascii="Arial" w:hAnsi="Arial" w:cs="Arial"/>
          <w:i/>
          <w:iCs/>
          <w:sz w:val="20"/>
          <w:szCs w:val="20"/>
        </w:rPr>
        <w:t>9</w:t>
      </w:r>
      <w:r w:rsidRPr="00B825A6">
        <w:rPr>
          <w:rFonts w:ascii="Arial" w:hAnsi="Arial" w:cs="Arial"/>
          <w:sz w:val="20"/>
          <w:szCs w:val="20"/>
        </w:rPr>
        <w:t>(1), 52–69. https://doi.org/10.1057/palgrave.jt.5740005</w:t>
      </w:r>
    </w:p>
    <w:p w14:paraId="33D0431C" w14:textId="77777777" w:rsidR="00E24494" w:rsidRDefault="0096508A" w:rsidP="00B825A6">
      <w:pPr>
        <w:spacing w:after="0"/>
        <w:jc w:val="both"/>
        <w:rPr>
          <w:rFonts w:ascii="Times New Roman" w:hAnsi="Times New Roman" w:cs="Times New Roman"/>
          <w:sz w:val="24"/>
          <w:szCs w:val="24"/>
        </w:rPr>
      </w:pPr>
      <w:r w:rsidRPr="00B825A6">
        <w:rPr>
          <w:rFonts w:ascii="Arial" w:hAnsi="Arial" w:cs="Arial"/>
          <w:sz w:val="20"/>
          <w:szCs w:val="20"/>
        </w:rPr>
        <w:fldChar w:fldCharType="end"/>
      </w:r>
    </w:p>
    <w:p w14:paraId="57AB4809" w14:textId="77777777" w:rsidR="00E24494" w:rsidRDefault="00E24494">
      <w:pPr>
        <w:spacing w:after="0" w:line="240" w:lineRule="auto"/>
        <w:rPr>
          <w:rFonts w:ascii="Times New Roman" w:eastAsia="Times New Roman" w:hAnsi="Times New Roman" w:cs="Times New Roman"/>
          <w:sz w:val="24"/>
          <w:szCs w:val="24"/>
        </w:rPr>
      </w:pPr>
    </w:p>
    <w:p w14:paraId="60F76A51" w14:textId="77777777" w:rsidR="00E24494" w:rsidRDefault="00E24494">
      <w:pPr>
        <w:jc w:val="both"/>
        <w:rPr>
          <w:rFonts w:ascii="Times New Roman" w:hAnsi="Times New Roman" w:cs="Times New Roman"/>
          <w:sz w:val="24"/>
          <w:szCs w:val="24"/>
        </w:rPr>
      </w:pPr>
    </w:p>
    <w:p w14:paraId="0EB69898" w14:textId="77777777" w:rsidR="00E24494" w:rsidRDefault="00E24494">
      <w:pPr>
        <w:jc w:val="both"/>
        <w:rPr>
          <w:rFonts w:ascii="Times New Roman" w:hAnsi="Times New Roman" w:cs="Times New Roman"/>
          <w:sz w:val="24"/>
          <w:szCs w:val="24"/>
        </w:rPr>
      </w:pPr>
    </w:p>
    <w:p w14:paraId="0E08B9AB" w14:textId="77777777" w:rsidR="00E24494" w:rsidRDefault="00E24494">
      <w:pPr>
        <w:jc w:val="both"/>
        <w:rPr>
          <w:rFonts w:ascii="Times New Roman" w:hAnsi="Times New Roman" w:cs="Times New Roman"/>
          <w:sz w:val="24"/>
          <w:szCs w:val="24"/>
        </w:rPr>
      </w:pPr>
    </w:p>
    <w:p w14:paraId="7FC77C4E" w14:textId="77777777" w:rsidR="00E24494" w:rsidRDefault="00E24494">
      <w:pPr>
        <w:spacing w:after="0" w:line="240" w:lineRule="auto"/>
        <w:rPr>
          <w:rFonts w:ascii="Times New Roman" w:eastAsia="Times New Roman" w:hAnsi="Times New Roman" w:cs="Times New Roman"/>
          <w:sz w:val="24"/>
          <w:szCs w:val="24"/>
        </w:rPr>
      </w:pPr>
    </w:p>
    <w:sectPr w:rsidR="00E24494" w:rsidSect="00A41962">
      <w:headerReference w:type="even" r:id="rId10"/>
      <w:headerReference w:type="default" r:id="rId11"/>
      <w:footerReference w:type="even" r:id="rId12"/>
      <w:footerReference w:type="default" r:id="rId13"/>
      <w:headerReference w:type="first" r:id="rId14"/>
      <w:footerReference w:type="first" r:id="rId15"/>
      <w:pgSz w:w="12240" w:h="15840"/>
      <w:pgMar w:top="1440" w:right="16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68F9E" w14:textId="77777777" w:rsidR="00DE1468" w:rsidRDefault="00DE1468">
      <w:pPr>
        <w:spacing w:line="240" w:lineRule="auto"/>
      </w:pPr>
      <w:r>
        <w:separator/>
      </w:r>
    </w:p>
  </w:endnote>
  <w:endnote w:type="continuationSeparator" w:id="0">
    <w:p w14:paraId="4BB2372B" w14:textId="77777777" w:rsidR="00DE1468" w:rsidRDefault="00DE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230B9" w14:textId="77777777" w:rsidR="00A41962" w:rsidRDefault="00A41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78F8" w14:textId="77777777" w:rsidR="00A41962" w:rsidRDefault="00A419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85DC2" w14:textId="77777777" w:rsidR="00A41962" w:rsidRDefault="00A41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E1BC8" w14:textId="77777777" w:rsidR="00DE1468" w:rsidRDefault="00DE1468">
      <w:pPr>
        <w:spacing w:after="0"/>
      </w:pPr>
      <w:r>
        <w:separator/>
      </w:r>
    </w:p>
  </w:footnote>
  <w:footnote w:type="continuationSeparator" w:id="0">
    <w:p w14:paraId="3B18DB5A" w14:textId="77777777" w:rsidR="00DE1468" w:rsidRDefault="00DE14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9C3E5" w14:textId="469816DC" w:rsidR="00A41962" w:rsidRDefault="00A41962">
    <w:pPr>
      <w:pStyle w:val="Header"/>
    </w:pPr>
    <w:r>
      <w:rPr>
        <w:noProof/>
      </w:rPr>
      <w:pict w14:anchorId="30F51E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607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20D60" w14:textId="2A66BC09" w:rsidR="00A41962" w:rsidRDefault="00A41962">
    <w:pPr>
      <w:pStyle w:val="Header"/>
    </w:pPr>
    <w:r>
      <w:rPr>
        <w:noProof/>
      </w:rPr>
      <w:pict w14:anchorId="74A649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6080"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986B6" w14:textId="071BA6D4" w:rsidR="00A41962" w:rsidRDefault="00A41962">
    <w:pPr>
      <w:pStyle w:val="Header"/>
    </w:pPr>
    <w:r>
      <w:rPr>
        <w:noProof/>
      </w:rPr>
      <w:pict w14:anchorId="2F0FA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607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E3C83"/>
    <w:multiLevelType w:val="multilevel"/>
    <w:tmpl w:val="5128E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C42896"/>
    <w:multiLevelType w:val="multilevel"/>
    <w:tmpl w:val="20C42896"/>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2F2512D"/>
    <w:multiLevelType w:val="multilevel"/>
    <w:tmpl w:val="E68AE5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ED262F"/>
    <w:multiLevelType w:val="multilevel"/>
    <w:tmpl w:val="2DED262F"/>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58A3161"/>
    <w:multiLevelType w:val="multilevel"/>
    <w:tmpl w:val="358A3161"/>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9ED57F8"/>
    <w:multiLevelType w:val="multilevel"/>
    <w:tmpl w:val="19F881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182A73"/>
    <w:multiLevelType w:val="multilevel"/>
    <w:tmpl w:val="8A2AE4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B08"/>
    <w:rsid w:val="00027579"/>
    <w:rsid w:val="0005679E"/>
    <w:rsid w:val="000A4833"/>
    <w:rsid w:val="000B16D8"/>
    <w:rsid w:val="000C3F82"/>
    <w:rsid w:val="000D5E20"/>
    <w:rsid w:val="000F7433"/>
    <w:rsid w:val="001118CF"/>
    <w:rsid w:val="00134506"/>
    <w:rsid w:val="00191F54"/>
    <w:rsid w:val="001A6224"/>
    <w:rsid w:val="001A6429"/>
    <w:rsid w:val="001B4AD7"/>
    <w:rsid w:val="001C3C02"/>
    <w:rsid w:val="002110E1"/>
    <w:rsid w:val="00264E29"/>
    <w:rsid w:val="002A4004"/>
    <w:rsid w:val="002B5D91"/>
    <w:rsid w:val="002F7013"/>
    <w:rsid w:val="00340678"/>
    <w:rsid w:val="00357FD8"/>
    <w:rsid w:val="003B5E0C"/>
    <w:rsid w:val="003C4EDE"/>
    <w:rsid w:val="00412273"/>
    <w:rsid w:val="00425D22"/>
    <w:rsid w:val="00437E74"/>
    <w:rsid w:val="00442B08"/>
    <w:rsid w:val="004538EB"/>
    <w:rsid w:val="00482CFC"/>
    <w:rsid w:val="004B65A7"/>
    <w:rsid w:val="00545534"/>
    <w:rsid w:val="005515EA"/>
    <w:rsid w:val="0059116C"/>
    <w:rsid w:val="005A35DD"/>
    <w:rsid w:val="005B1F8F"/>
    <w:rsid w:val="005D6002"/>
    <w:rsid w:val="005E01A6"/>
    <w:rsid w:val="00612496"/>
    <w:rsid w:val="00633EBB"/>
    <w:rsid w:val="00635829"/>
    <w:rsid w:val="0063777F"/>
    <w:rsid w:val="00645FAD"/>
    <w:rsid w:val="00693693"/>
    <w:rsid w:val="006A1937"/>
    <w:rsid w:val="006A4364"/>
    <w:rsid w:val="006A73F6"/>
    <w:rsid w:val="006D428E"/>
    <w:rsid w:val="006F0043"/>
    <w:rsid w:val="007264F5"/>
    <w:rsid w:val="00732F00"/>
    <w:rsid w:val="00790534"/>
    <w:rsid w:val="00827DDC"/>
    <w:rsid w:val="008459ED"/>
    <w:rsid w:val="00852A9F"/>
    <w:rsid w:val="00867D6C"/>
    <w:rsid w:val="00876067"/>
    <w:rsid w:val="008A66D4"/>
    <w:rsid w:val="00920897"/>
    <w:rsid w:val="00922EEF"/>
    <w:rsid w:val="00930ACB"/>
    <w:rsid w:val="009348DB"/>
    <w:rsid w:val="00941E03"/>
    <w:rsid w:val="00942A87"/>
    <w:rsid w:val="00952B82"/>
    <w:rsid w:val="0096508A"/>
    <w:rsid w:val="00976892"/>
    <w:rsid w:val="009C1567"/>
    <w:rsid w:val="009D428B"/>
    <w:rsid w:val="009D7F8F"/>
    <w:rsid w:val="009E6C7E"/>
    <w:rsid w:val="00A27A68"/>
    <w:rsid w:val="00A36DDB"/>
    <w:rsid w:val="00A41962"/>
    <w:rsid w:val="00A6290B"/>
    <w:rsid w:val="00A759DA"/>
    <w:rsid w:val="00A82E5E"/>
    <w:rsid w:val="00A8684F"/>
    <w:rsid w:val="00A93A3E"/>
    <w:rsid w:val="00B155B9"/>
    <w:rsid w:val="00B32F73"/>
    <w:rsid w:val="00B53620"/>
    <w:rsid w:val="00B541D1"/>
    <w:rsid w:val="00B55D2D"/>
    <w:rsid w:val="00B768B0"/>
    <w:rsid w:val="00B825A6"/>
    <w:rsid w:val="00BD4735"/>
    <w:rsid w:val="00C05401"/>
    <w:rsid w:val="00C13035"/>
    <w:rsid w:val="00C137C3"/>
    <w:rsid w:val="00C7574A"/>
    <w:rsid w:val="00CF0A82"/>
    <w:rsid w:val="00D10CC4"/>
    <w:rsid w:val="00D94150"/>
    <w:rsid w:val="00D9529D"/>
    <w:rsid w:val="00DA0F90"/>
    <w:rsid w:val="00DE1468"/>
    <w:rsid w:val="00E17122"/>
    <w:rsid w:val="00E24494"/>
    <w:rsid w:val="00E629EF"/>
    <w:rsid w:val="00E96193"/>
    <w:rsid w:val="00EB05F4"/>
    <w:rsid w:val="00EC24A1"/>
    <w:rsid w:val="00F05268"/>
    <w:rsid w:val="00F77B62"/>
    <w:rsid w:val="00F85FC5"/>
    <w:rsid w:val="00FB08D7"/>
    <w:rsid w:val="00FC717B"/>
    <w:rsid w:val="00FE3EA8"/>
    <w:rsid w:val="68247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A967AE"/>
  <w15:docId w15:val="{7DC22CDE-1603-44CC-9C9C-6947DB3A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character" w:customStyle="1" w:styleId="overflow-hidden">
    <w:name w:val="overflow-hidden"/>
    <w:basedOn w:val="DefaultParagraphFont"/>
    <w:qFormat/>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qFormat/>
    <w:rPr>
      <w:rFonts w:ascii="Arial" w:eastAsia="Times New Roman" w:hAnsi="Arial" w:cs="Arial"/>
      <w:vanish/>
      <w:sz w:val="16"/>
      <w:szCs w:val="16"/>
    </w:rPr>
  </w:style>
  <w:style w:type="paragraph" w:customStyle="1" w:styleId="placeholder">
    <w:name w:val="placeholder"/>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BottomofForm1">
    <w:name w:val="z-Bottom of Form1"/>
    <w:basedOn w:val="Normal"/>
    <w:next w:val="Normal"/>
    <w:link w:val="z-BottomofFormChar"/>
    <w:uiPriority w:val="99"/>
    <w:semiHidden/>
    <w:unhideWhenUsed/>
    <w:qFormat/>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qFormat/>
    <w:rPr>
      <w:rFonts w:ascii="Arial" w:eastAsia="Times New Roman" w:hAnsi="Arial" w:cs="Arial"/>
      <w:vanish/>
      <w:sz w:val="16"/>
      <w:szCs w:val="16"/>
    </w:rPr>
  </w:style>
  <w:style w:type="table" w:customStyle="1" w:styleId="PlainTable11">
    <w:name w:val="Plain Table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pPr>
      <w:ind w:left="720"/>
      <w:contextualSpacing/>
    </w:pPr>
  </w:style>
  <w:style w:type="paragraph" w:styleId="NoSpacing">
    <w:name w:val="No Spacing"/>
    <w:uiPriority w:val="1"/>
    <w:qFormat/>
    <w:rsid w:val="002B5D91"/>
    <w:rPr>
      <w:kern w:val="2"/>
      <w:sz w:val="22"/>
      <w:szCs w:val="22"/>
      <w14:ligatures w14:val="standardContextual"/>
    </w:rPr>
  </w:style>
  <w:style w:type="paragraph" w:styleId="Header">
    <w:name w:val="header"/>
    <w:basedOn w:val="Normal"/>
    <w:link w:val="HeaderChar"/>
    <w:uiPriority w:val="99"/>
    <w:unhideWhenUsed/>
    <w:rsid w:val="009C1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567"/>
    <w:rPr>
      <w:sz w:val="22"/>
      <w:szCs w:val="22"/>
    </w:rPr>
  </w:style>
  <w:style w:type="paragraph" w:styleId="Footer">
    <w:name w:val="footer"/>
    <w:basedOn w:val="Normal"/>
    <w:link w:val="FooterChar"/>
    <w:uiPriority w:val="99"/>
    <w:unhideWhenUsed/>
    <w:rsid w:val="009C1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567"/>
    <w:rPr>
      <w:sz w:val="22"/>
      <w:szCs w:val="22"/>
    </w:rPr>
  </w:style>
  <w:style w:type="character" w:styleId="UnresolvedMention">
    <w:name w:val="Unresolved Mention"/>
    <w:basedOn w:val="DefaultParagraphFont"/>
    <w:uiPriority w:val="99"/>
    <w:semiHidden/>
    <w:unhideWhenUsed/>
    <w:rsid w:val="000F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7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125205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80/1352726090275753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B954C-E8A8-4D27-A046-C36A53C8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11</Pages>
  <Words>5125</Words>
  <Characters>29217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Crown Tech</cp:lastModifiedBy>
  <cp:revision>9</cp:revision>
  <dcterms:created xsi:type="dcterms:W3CDTF">2024-11-14T06:13:00Z</dcterms:created>
  <dcterms:modified xsi:type="dcterms:W3CDTF">2024-12-30T15:24:00Z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c1619fac-181b-3e9a-a448-a5bdae636768</vt:lpwstr>
  </property>
  <property fmtid="{D5CDD505-2E9C-101B-9397-08002B2CF9AE}" pid="25" name="KSOProductBuildVer">
    <vt:lpwstr>1033-12.2.0.18607</vt:lpwstr>
  </property>
  <property fmtid="{D5CDD505-2E9C-101B-9397-08002B2CF9AE}" pid="26" name="ICV">
    <vt:lpwstr>7C31A49BBA834013865E671710A67C1B_12</vt:lpwstr>
  </property>
</Properties>
</file>